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2723D" w14:textId="77777777" w:rsidR="00D3059E" w:rsidRPr="00040595" w:rsidRDefault="00D3059E" w:rsidP="00036BBD">
      <w:pPr>
        <w:spacing w:after="0"/>
        <w:rPr>
          <w:sz w:val="19"/>
          <w:szCs w:val="19"/>
          <w:lang w:val="ru-RU"/>
        </w:rPr>
      </w:pPr>
      <w:bookmarkStart w:id="0" w:name="_GoBack"/>
      <w:bookmarkEnd w:id="0"/>
    </w:p>
    <w:tbl>
      <w:tblPr>
        <w:tblpPr w:leftFromText="180" w:rightFromText="180" w:vertAnchor="page" w:horzAnchor="margin" w:tblpX="-1310" w:tblpY="1793"/>
        <w:tblW w:w="11340" w:type="dxa"/>
        <w:tblLook w:val="0000" w:firstRow="0" w:lastRow="0" w:firstColumn="0" w:lastColumn="0" w:noHBand="0" w:noVBand="0"/>
      </w:tblPr>
      <w:tblGrid>
        <w:gridCol w:w="11340"/>
      </w:tblGrid>
      <w:tr w:rsidR="008838C8" w:rsidRPr="00D436B3" w14:paraId="063C6737" w14:textId="77777777" w:rsidTr="00DD7187">
        <w:trPr>
          <w:trHeight w:val="430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0AFD8" w14:textId="77777777" w:rsidR="007030C9" w:rsidRDefault="008838C8" w:rsidP="00DD7187">
            <w:pPr>
              <w:spacing w:after="0" w:line="240" w:lineRule="auto"/>
              <w:ind w:left="-426" w:right="-676"/>
              <w:jc w:val="center"/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</w:pPr>
            <w:r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 xml:space="preserve">КОНСОЛИДИРОВАННОЕ И ОТДЕЛЬНOЕ </w:t>
            </w:r>
            <w:r w:rsidR="00DD7187"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 xml:space="preserve">СОСТОЯНИЕ </w:t>
            </w:r>
          </w:p>
          <w:p w14:paraId="38894C2F" w14:textId="39C69220" w:rsidR="008838C8" w:rsidRPr="00DD7187" w:rsidRDefault="00DD7187" w:rsidP="00DD7187">
            <w:pPr>
              <w:spacing w:after="0" w:line="240" w:lineRule="auto"/>
              <w:ind w:left="-426" w:right="-676"/>
              <w:jc w:val="center"/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>О</w:t>
            </w:r>
            <w:r w:rsidR="008838C8"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 xml:space="preserve"> СОВОКУПНОМ ДОХОДЕ</w:t>
            </w:r>
          </w:p>
        </w:tc>
      </w:tr>
      <w:tr w:rsidR="008838C8" w:rsidRPr="00D436B3" w14:paraId="66C0A61A" w14:textId="77777777" w:rsidTr="00926D1C">
        <w:trPr>
          <w:trHeight w:val="384"/>
        </w:trPr>
        <w:tc>
          <w:tcPr>
            <w:tcW w:w="113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1D0D124" w14:textId="7BA310DF" w:rsidR="008838C8" w:rsidRPr="00040595" w:rsidRDefault="008838C8" w:rsidP="00DD7187">
            <w:pPr>
              <w:tabs>
                <w:tab w:val="center" w:pos="4677"/>
                <w:tab w:val="right" w:pos="9355"/>
              </w:tabs>
              <w:spacing w:after="0" w:line="240" w:lineRule="auto"/>
              <w:ind w:left="-426" w:right="-676"/>
              <w:jc w:val="center"/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</w:pPr>
            <w:r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>(</w:t>
            </w:r>
            <w:r w:rsidR="00DE440F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>не</w:t>
            </w:r>
            <w:r w:rsidRPr="00040595">
              <w:rPr>
                <w:rFonts w:ascii="PermianSerifTypeface" w:hAnsi="PermianSerifTypeface"/>
                <w:b/>
                <w:bCs/>
                <w:sz w:val="24"/>
                <w:szCs w:val="24"/>
                <w:lang w:val="ru-RU"/>
              </w:rPr>
              <w:t>аудированное)</w:t>
            </w:r>
          </w:p>
          <w:p w14:paraId="56506F0A" w14:textId="7FC5BFD9" w:rsidR="008838C8" w:rsidRPr="00040595" w:rsidRDefault="00DE440F" w:rsidP="00DD7187">
            <w:pPr>
              <w:tabs>
                <w:tab w:val="center" w:pos="4677"/>
                <w:tab w:val="right" w:pos="9355"/>
              </w:tabs>
              <w:spacing w:after="0" w:line="240" w:lineRule="auto"/>
              <w:ind w:left="-426" w:right="-676"/>
              <w:jc w:val="center"/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</w:pPr>
            <w:r w:rsidRPr="00DE440F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 xml:space="preserve">За </w:t>
            </w:r>
            <w:r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>6</w:t>
            </w:r>
            <w:r w:rsidRPr="00DE440F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 xml:space="preserve"> месяцев, закончившихся </w:t>
            </w:r>
            <w:r w:rsidR="00A72CAD" w:rsidRPr="00A72CAD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>0</w:t>
            </w:r>
            <w:r w:rsidR="00A72CAD" w:rsidRPr="00A72CAD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E440F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 xml:space="preserve">июня </w:t>
            </w:r>
            <w:r w:rsidR="00A72CAD" w:rsidRPr="00A72CAD"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>202</w:t>
            </w:r>
            <w:r>
              <w:rPr>
                <w:rFonts w:ascii="PermianSerifTypeface" w:eastAsia="Times New Roman" w:hAnsi="PermianSerifTypeface"/>
                <w:b/>
                <w:bCs/>
                <w:sz w:val="24"/>
                <w:szCs w:val="24"/>
                <w:lang w:val="ru-RU"/>
              </w:rPr>
              <w:t>3</w:t>
            </w:r>
          </w:p>
        </w:tc>
      </w:tr>
    </w:tbl>
    <w:p w14:paraId="3057242C" w14:textId="77777777" w:rsidR="001F4815" w:rsidRPr="003C6129" w:rsidRDefault="001F4815" w:rsidP="001F4815">
      <w:pPr>
        <w:rPr>
          <w:sz w:val="20"/>
          <w:szCs w:val="20"/>
          <w:lang w:val="ru-RU"/>
        </w:rPr>
        <w:sectPr w:rsidR="001F4815" w:rsidRPr="003C6129" w:rsidSect="003B6ADA">
          <w:headerReference w:type="default" r:id="rId8"/>
          <w:footerReference w:type="even" r:id="rId9"/>
          <w:pgSz w:w="11906" w:h="16838"/>
          <w:pgMar w:top="426" w:right="851" w:bottom="851" w:left="1701" w:header="142" w:footer="720" w:gutter="0"/>
          <w:cols w:space="720"/>
          <w:docGrid w:linePitch="360"/>
        </w:sectPr>
      </w:pPr>
    </w:p>
    <w:p w14:paraId="445C20B8" w14:textId="77777777" w:rsidR="00781C60" w:rsidRDefault="00781C60" w:rsidP="001F4815">
      <w:pPr>
        <w:rPr>
          <w:sz w:val="2"/>
          <w:szCs w:val="2"/>
          <w:lang w:val="ru-RU"/>
        </w:rPr>
      </w:pPr>
    </w:p>
    <w:p w14:paraId="06526417" w14:textId="77777777" w:rsidR="00781C60" w:rsidRPr="00781C60" w:rsidRDefault="00781C60" w:rsidP="005830AC">
      <w:pPr>
        <w:spacing w:after="80"/>
        <w:rPr>
          <w:sz w:val="2"/>
          <w:szCs w:val="2"/>
          <w:lang w:val="ru-RU"/>
        </w:rPr>
      </w:pPr>
    </w:p>
    <w:tbl>
      <w:tblPr>
        <w:tblpPr w:leftFromText="180" w:rightFromText="180" w:vertAnchor="text" w:horzAnchor="margin" w:tblpX="-1376" w:tblpY="99"/>
        <w:tblW w:w="11185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051"/>
        <w:gridCol w:w="1414"/>
        <w:gridCol w:w="1124"/>
        <w:gridCol w:w="136"/>
        <w:gridCol w:w="104"/>
        <w:gridCol w:w="1238"/>
        <w:gridCol w:w="1118"/>
      </w:tblGrid>
      <w:tr w:rsidR="00DD7187" w:rsidRPr="00926D1C" w14:paraId="133C719A" w14:textId="77777777" w:rsidTr="00CC5A24">
        <w:trPr>
          <w:trHeight w:hRule="exact" w:val="284"/>
        </w:trPr>
        <w:tc>
          <w:tcPr>
            <w:tcW w:w="8725" w:type="dxa"/>
            <w:gridSpan w:val="4"/>
            <w:tcBorders>
              <w:bottom w:val="nil"/>
            </w:tcBorders>
            <w:shd w:val="clear" w:color="auto" w:fill="auto"/>
            <w:noWrap/>
          </w:tcPr>
          <w:p w14:paraId="65AE45FA" w14:textId="02804B6E" w:rsidR="00DD7187" w:rsidRPr="00926D1C" w:rsidRDefault="00DD7187" w:rsidP="0063101B">
            <w:pPr>
              <w:spacing w:after="4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КОНСОЛИДИРОВАННЫЙ</w:t>
            </w:r>
          </w:p>
        </w:tc>
        <w:tc>
          <w:tcPr>
            <w:tcW w:w="2460" w:type="dxa"/>
            <w:gridSpan w:val="3"/>
            <w:tcBorders>
              <w:bottom w:val="single" w:sz="8" w:space="0" w:color="808080"/>
            </w:tcBorders>
            <w:shd w:val="clear" w:color="auto" w:fill="auto"/>
          </w:tcPr>
          <w:p w14:paraId="6E461FBC" w14:textId="793D72F1" w:rsidR="00DD7187" w:rsidRPr="00926D1C" w:rsidRDefault="00DD7187" w:rsidP="0063101B">
            <w:pPr>
              <w:spacing w:after="40" w:line="240" w:lineRule="auto"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БАНК</w:t>
            </w:r>
          </w:p>
        </w:tc>
      </w:tr>
      <w:tr w:rsidR="00DE440F" w:rsidRPr="00926D1C" w14:paraId="05197CE9" w14:textId="77777777" w:rsidTr="00C6018F">
        <w:trPr>
          <w:trHeight w:hRule="exact" w:val="517"/>
        </w:trPr>
        <w:tc>
          <w:tcPr>
            <w:tcW w:w="605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0DECFA1" w14:textId="32002753" w:rsidR="00DE440F" w:rsidRPr="00926D1C" w:rsidRDefault="00DE440F" w:rsidP="00926D1C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586EDBDD" w14:textId="77777777" w:rsidR="00DE440F" w:rsidRPr="00926D1C" w:rsidRDefault="00DE440F" w:rsidP="00926D1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июня</w:t>
            </w:r>
          </w:p>
          <w:p w14:paraId="4ED00D2F" w14:textId="3091ED13" w:rsidR="00DE440F" w:rsidRPr="00926D1C" w:rsidRDefault="00DE440F" w:rsidP="00926D1C">
            <w:pPr>
              <w:spacing w:after="0" w:line="240" w:lineRule="auto"/>
              <w:ind w:left="40" w:right="32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24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60B059F6" w14:textId="77777777" w:rsidR="00DE440F" w:rsidRPr="00926D1C" w:rsidRDefault="00DE440F" w:rsidP="00926D1C">
            <w:pPr>
              <w:spacing w:after="0" w:line="240" w:lineRule="auto"/>
              <w:jc w:val="right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 июня</w:t>
            </w:r>
          </w:p>
          <w:p w14:paraId="7CDA5DC3" w14:textId="61A52B67" w:rsidR="00DE440F" w:rsidRPr="00926D1C" w:rsidRDefault="00DE440F" w:rsidP="00926D1C">
            <w:pPr>
              <w:spacing w:after="0" w:line="240" w:lineRule="auto"/>
              <w:ind w:right="32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2022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9698AC" w14:textId="23653621" w:rsidR="00DE440F" w:rsidRPr="00926D1C" w:rsidRDefault="00DE440F" w:rsidP="00926D1C">
            <w:pPr>
              <w:spacing w:after="0" w:line="240" w:lineRule="auto"/>
              <w:ind w:right="32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085D2788" w14:textId="77777777" w:rsidR="00DE440F" w:rsidRPr="00926D1C" w:rsidRDefault="00DE440F" w:rsidP="00926D1C">
            <w:pPr>
              <w:spacing w:after="0" w:line="240" w:lineRule="auto"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июня</w:t>
            </w:r>
          </w:p>
          <w:p w14:paraId="49015741" w14:textId="78C2353D" w:rsidR="00DE440F" w:rsidRPr="00926D1C" w:rsidRDefault="00DE440F" w:rsidP="00926D1C">
            <w:pPr>
              <w:spacing w:after="0" w:line="240" w:lineRule="auto"/>
              <w:ind w:right="32" w:hanging="2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1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7811D2D8" w14:textId="77777777" w:rsidR="00DE440F" w:rsidRPr="00926D1C" w:rsidRDefault="00DE440F" w:rsidP="00926D1C">
            <w:pPr>
              <w:spacing w:after="0" w:line="240" w:lineRule="auto"/>
              <w:jc w:val="right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 июня</w:t>
            </w:r>
          </w:p>
          <w:p w14:paraId="537D32FA" w14:textId="5ED28E38" w:rsidR="00DE440F" w:rsidRPr="00926D1C" w:rsidRDefault="00DE440F" w:rsidP="00926D1C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2022</w:t>
            </w:r>
          </w:p>
        </w:tc>
      </w:tr>
      <w:tr w:rsidR="0060438C" w:rsidRPr="00926D1C" w14:paraId="5337A7F6" w14:textId="77777777" w:rsidTr="00926D1C">
        <w:trPr>
          <w:trHeight w:val="42"/>
        </w:trPr>
        <w:tc>
          <w:tcPr>
            <w:tcW w:w="605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DD9B330" w14:textId="77777777" w:rsidR="0060438C" w:rsidRPr="00926D1C" w:rsidRDefault="0060438C" w:rsidP="00DD7187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63BC0949" w14:textId="0EB5682E" w:rsidR="0060438C" w:rsidRPr="00926D1C" w:rsidRDefault="0060438C" w:rsidP="00DC1476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124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66779FF6" w14:textId="77777777" w:rsidR="0060438C" w:rsidRPr="00926D1C" w:rsidRDefault="0060438C" w:rsidP="00DC1476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FBD0EFC" w14:textId="5B444E2B" w:rsidR="0060438C" w:rsidRPr="00926D1C" w:rsidRDefault="0060438C" w:rsidP="00DC1476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0FE076A8" w14:textId="436DA6EA" w:rsidR="0060438C" w:rsidRPr="00926D1C" w:rsidRDefault="0060438C" w:rsidP="00DC1476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118" w:type="dxa"/>
            <w:tcBorders>
              <w:top w:val="single" w:sz="8" w:space="0" w:color="808080"/>
            </w:tcBorders>
            <w:shd w:val="clear" w:color="auto" w:fill="auto"/>
            <w:noWrap/>
            <w:vAlign w:val="bottom"/>
          </w:tcPr>
          <w:p w14:paraId="3134D762" w14:textId="580AA216" w:rsidR="0060438C" w:rsidRPr="00926D1C" w:rsidRDefault="0060438C" w:rsidP="00DC1476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</w:tr>
      <w:tr w:rsidR="00926D1C" w:rsidRPr="00D436B3" w14:paraId="72A0490F" w14:textId="77777777" w:rsidTr="00926D1C">
        <w:trPr>
          <w:trHeight w:val="42"/>
        </w:trPr>
        <w:tc>
          <w:tcPr>
            <w:tcW w:w="11185" w:type="dxa"/>
            <w:gridSpan w:val="7"/>
            <w:shd w:val="clear" w:color="auto" w:fill="auto"/>
            <w:noWrap/>
            <w:vAlign w:val="bottom"/>
          </w:tcPr>
          <w:p w14:paraId="15622E8B" w14:textId="758DD70F" w:rsidR="00926D1C" w:rsidRPr="00926D1C" w:rsidRDefault="00926D1C" w:rsidP="00926D1C">
            <w:pPr>
              <w:spacing w:after="0" w:line="240" w:lineRule="auto"/>
              <w:ind w:left="38" w:hanging="38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Процентные доходы от официальных резервных активов</w:t>
            </w:r>
          </w:p>
        </w:tc>
      </w:tr>
      <w:tr w:rsidR="00DE440F" w:rsidRPr="00926D1C" w14:paraId="7C73826D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0A1FB7FE" w14:textId="0BACB085" w:rsidR="00DE440F" w:rsidRPr="00926D1C" w:rsidRDefault="00DE440F" w:rsidP="00DD7187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доходы по краткосрочным размещениям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  <w:vAlign w:val="bottom"/>
          </w:tcPr>
          <w:p w14:paraId="7DE24258" w14:textId="77271BAC" w:rsidR="00DE440F" w:rsidRPr="00926D1C" w:rsidRDefault="00DE440F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460 531 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auto"/>
            <w:vAlign w:val="bottom"/>
          </w:tcPr>
          <w:p w14:paraId="6C181736" w14:textId="4BF68AAA" w:rsidR="00DE440F" w:rsidRPr="00926D1C" w:rsidRDefault="00DE440F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color w:val="000000"/>
                <w:sz w:val="20"/>
                <w:szCs w:val="20"/>
                <w:lang w:val="ro-MD"/>
              </w:rPr>
              <w:t>55 995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733F6C86" w14:textId="77777777" w:rsidR="00DE440F" w:rsidRPr="00926D1C" w:rsidRDefault="00DE440F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bottom"/>
          </w:tcPr>
          <w:p w14:paraId="63333EE6" w14:textId="49C47E80" w:rsidR="00DE440F" w:rsidRPr="00926D1C" w:rsidRDefault="00DE440F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460 531 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000DEE3" w14:textId="34F1D483" w:rsidR="00DE440F" w:rsidRPr="00926D1C" w:rsidRDefault="00DE440F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color w:val="000000"/>
                <w:sz w:val="20"/>
                <w:szCs w:val="20"/>
                <w:lang w:val="ro-MD"/>
              </w:rPr>
              <w:t>55 995</w:t>
            </w:r>
          </w:p>
        </w:tc>
      </w:tr>
      <w:tr w:rsidR="00DE440F" w:rsidRPr="00926D1C" w14:paraId="54C030DF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765F993D" w14:textId="47F8D8D4" w:rsidR="00DE440F" w:rsidRPr="00926D1C" w:rsidRDefault="00DE440F" w:rsidP="00DD7187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доходы по ценным бумагам</w:t>
            </w:r>
          </w:p>
        </w:tc>
        <w:tc>
          <w:tcPr>
            <w:tcW w:w="1414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4C86ACED" w14:textId="0DAF663C" w:rsidR="00DE440F" w:rsidRPr="00926D1C" w:rsidRDefault="00DE440F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1 087 377 </w:t>
            </w:r>
          </w:p>
        </w:tc>
        <w:tc>
          <w:tcPr>
            <w:tcW w:w="1124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65A4CBFF" w14:textId="00D956E4" w:rsidR="00DE440F" w:rsidRPr="00926D1C" w:rsidRDefault="00DE440F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color w:val="000000"/>
                <w:sz w:val="20"/>
                <w:szCs w:val="20"/>
                <w:lang w:val="ro-MD"/>
              </w:rPr>
              <w:t>104 596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7E32F5E9" w14:textId="77777777" w:rsidR="00DE440F" w:rsidRPr="00926D1C" w:rsidRDefault="00DE440F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0410EAA7" w14:textId="38FF1078" w:rsidR="00DE440F" w:rsidRPr="00926D1C" w:rsidRDefault="00DE440F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1 087 377 </w:t>
            </w:r>
          </w:p>
        </w:tc>
        <w:tc>
          <w:tcPr>
            <w:tcW w:w="1118" w:type="dxa"/>
            <w:tcBorders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1806B7A7" w14:textId="04270163" w:rsidR="00DE440F" w:rsidRPr="00926D1C" w:rsidRDefault="00DE440F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color w:val="000000"/>
                <w:sz w:val="20"/>
                <w:szCs w:val="20"/>
                <w:lang w:val="ro-MD"/>
              </w:rPr>
              <w:t>104 596</w:t>
            </w:r>
          </w:p>
        </w:tc>
      </w:tr>
      <w:tr w:rsidR="00DE440F" w:rsidRPr="00926D1C" w14:paraId="43AA479B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6C1FC57C" w14:textId="77777777" w:rsidR="00DE440F" w:rsidRPr="00926D1C" w:rsidRDefault="00DE440F" w:rsidP="00DD7187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14:paraId="19E80429" w14:textId="56A65C2C" w:rsidR="00DE440F" w:rsidRPr="00926D1C" w:rsidRDefault="00DE440F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 1 547 908 </w:t>
            </w:r>
          </w:p>
        </w:tc>
        <w:tc>
          <w:tcPr>
            <w:tcW w:w="1124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14:paraId="74F451C3" w14:textId="53786EB8" w:rsidR="00DE440F" w:rsidRPr="00926D1C" w:rsidRDefault="00DE440F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o-MD"/>
              </w:rPr>
              <w:t>160 591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5BF1A0DF" w14:textId="77777777" w:rsidR="00DE440F" w:rsidRPr="00926D1C" w:rsidRDefault="00DE440F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5FB56EBD" w14:textId="7EAB1958" w:rsidR="00DE440F" w:rsidRPr="00926D1C" w:rsidRDefault="00DE440F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1 547 908 </w:t>
            </w:r>
          </w:p>
        </w:tc>
        <w:tc>
          <w:tcPr>
            <w:tcW w:w="1118" w:type="dxa"/>
            <w:tcBorders>
              <w:top w:val="single" w:sz="4" w:space="0" w:color="808080"/>
              <w:bottom w:val="nil"/>
            </w:tcBorders>
            <w:shd w:val="clear" w:color="auto" w:fill="auto"/>
            <w:noWrap/>
            <w:vAlign w:val="bottom"/>
          </w:tcPr>
          <w:p w14:paraId="4E663FCC" w14:textId="441DB3BF" w:rsidR="00DE440F" w:rsidRPr="00926D1C" w:rsidRDefault="00DE440F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o-MD"/>
              </w:rPr>
              <w:t>160 591</w:t>
            </w:r>
          </w:p>
        </w:tc>
      </w:tr>
      <w:tr w:rsidR="00DD7187" w:rsidRPr="00D436B3" w14:paraId="2469291E" w14:textId="77777777" w:rsidTr="00926D1C">
        <w:trPr>
          <w:trHeight w:val="42"/>
        </w:trPr>
        <w:tc>
          <w:tcPr>
            <w:tcW w:w="7465" w:type="dxa"/>
            <w:gridSpan w:val="2"/>
            <w:shd w:val="clear" w:color="auto" w:fill="auto"/>
            <w:noWrap/>
            <w:vAlign w:val="bottom"/>
          </w:tcPr>
          <w:p w14:paraId="222E6762" w14:textId="64D29CCC" w:rsidR="00DD7187" w:rsidRPr="00926D1C" w:rsidRDefault="00DD7187" w:rsidP="00DD7187">
            <w:pPr>
              <w:spacing w:after="0" w:line="240" w:lineRule="auto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Процентные доходы по инструментам в национальной валюте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auto"/>
            <w:vAlign w:val="bottom"/>
          </w:tcPr>
          <w:p w14:paraId="6940EA8C" w14:textId="77777777" w:rsidR="00DD7187" w:rsidRPr="00926D1C" w:rsidRDefault="00DD7187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7A72F5CA" w14:textId="77777777" w:rsidR="00DD7187" w:rsidRPr="00926D1C" w:rsidRDefault="00DD7187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74C4D08" w14:textId="77777777" w:rsidR="00DD7187" w:rsidRPr="00926D1C" w:rsidRDefault="00DD7187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533EF1E" w14:textId="77777777" w:rsidR="00DD7187" w:rsidRPr="00926D1C" w:rsidRDefault="00DD7187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</w:tr>
      <w:tr w:rsidR="00DE440F" w:rsidRPr="00926D1C" w14:paraId="38AD2157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715B27DB" w14:textId="0F2FAE2F" w:rsidR="00DE440F" w:rsidRPr="00926D1C" w:rsidRDefault="00DE440F" w:rsidP="00DD7187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доходы по выданным кредитам и репо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  <w:vAlign w:val="bottom"/>
          </w:tcPr>
          <w:p w14:paraId="5114F318" w14:textId="086EC879" w:rsidR="00DE440F" w:rsidRPr="00926D1C" w:rsidRDefault="00DE440F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3 984 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auto"/>
            <w:vAlign w:val="bottom"/>
          </w:tcPr>
          <w:p w14:paraId="2BBEC759" w14:textId="27E59044" w:rsidR="00DE440F" w:rsidRPr="00926D1C" w:rsidRDefault="00DE440F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color w:val="000000"/>
                <w:sz w:val="20"/>
                <w:szCs w:val="20"/>
                <w:lang w:val="ro-MD"/>
              </w:rPr>
              <w:t>127 294</w:t>
            </w:r>
          </w:p>
        </w:tc>
        <w:tc>
          <w:tcPr>
            <w:tcW w:w="24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0F25CD3" w14:textId="77777777" w:rsidR="00DE440F" w:rsidRPr="00926D1C" w:rsidRDefault="00DE440F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bottom"/>
          </w:tcPr>
          <w:p w14:paraId="7CDFED08" w14:textId="1C81B88F" w:rsidR="00DE440F" w:rsidRPr="00926D1C" w:rsidRDefault="00DE440F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3 976 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59538B4" w14:textId="77E3A7B4" w:rsidR="00DE440F" w:rsidRPr="00926D1C" w:rsidRDefault="00DE440F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color w:val="000000"/>
                <w:sz w:val="20"/>
                <w:szCs w:val="20"/>
                <w:lang w:val="ro-MD"/>
              </w:rPr>
              <w:t>126 736</w:t>
            </w:r>
          </w:p>
        </w:tc>
      </w:tr>
      <w:tr w:rsidR="00DE440F" w:rsidRPr="00926D1C" w14:paraId="3B2D2E4A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64E4D92D" w14:textId="50B27F0B" w:rsidR="00DE440F" w:rsidRPr="00926D1C" w:rsidRDefault="00DE440F" w:rsidP="00DD7187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Процентные доходы по ценным бумагам</w:t>
            </w: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  <w:vAlign w:val="bottom"/>
          </w:tcPr>
          <w:p w14:paraId="3A6C73A2" w14:textId="342112F8" w:rsidR="00DE440F" w:rsidRPr="00926D1C" w:rsidRDefault="00DE440F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444 822 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auto"/>
            <w:vAlign w:val="bottom"/>
          </w:tcPr>
          <w:p w14:paraId="6D9CD0FC" w14:textId="2F4858E9" w:rsidR="00DE440F" w:rsidRPr="00926D1C" w:rsidRDefault="00DE440F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color w:val="000000"/>
                <w:sz w:val="20"/>
                <w:szCs w:val="20"/>
                <w:lang w:val="ro-MD"/>
              </w:rPr>
              <w:t>401 735</w:t>
            </w:r>
          </w:p>
        </w:tc>
        <w:tc>
          <w:tcPr>
            <w:tcW w:w="24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340A4A29" w14:textId="77777777" w:rsidR="00DE440F" w:rsidRPr="00926D1C" w:rsidRDefault="00DE440F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bottom"/>
          </w:tcPr>
          <w:p w14:paraId="09CBCF0E" w14:textId="4270BD11" w:rsidR="00DE440F" w:rsidRPr="00926D1C" w:rsidRDefault="00DE440F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442 632 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AD2FC7D" w14:textId="1F6FB9CE" w:rsidR="00DE440F" w:rsidRPr="00926D1C" w:rsidRDefault="00DE440F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color w:val="000000"/>
                <w:sz w:val="20"/>
                <w:szCs w:val="20"/>
                <w:lang w:val="ro-MD"/>
              </w:rPr>
              <w:t>400 772</w:t>
            </w:r>
          </w:p>
        </w:tc>
      </w:tr>
      <w:tr w:rsidR="00DE440F" w:rsidRPr="00926D1C" w14:paraId="01A2F06F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4F558F7E" w14:textId="5548E514" w:rsidR="00DE440F" w:rsidRPr="00926D1C" w:rsidRDefault="00DE440F" w:rsidP="00DD7187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доходы по прочим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свободным денежным средствам</w:t>
            </w:r>
          </w:p>
        </w:tc>
        <w:tc>
          <w:tcPr>
            <w:tcW w:w="1414" w:type="dxa"/>
            <w:tcBorders>
              <w:top w:val="nil"/>
              <w:bottom w:val="single" w:sz="4" w:space="0" w:color="808080"/>
            </w:tcBorders>
            <w:shd w:val="clear" w:color="auto" w:fill="auto"/>
            <w:vAlign w:val="bottom"/>
          </w:tcPr>
          <w:p w14:paraId="206EC0F9" w14:textId="22C39B4A" w:rsidR="00DE440F" w:rsidRPr="00926D1C" w:rsidRDefault="00DE440F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 1 </w:t>
            </w:r>
          </w:p>
        </w:tc>
        <w:tc>
          <w:tcPr>
            <w:tcW w:w="1124" w:type="dxa"/>
            <w:tcBorders>
              <w:top w:val="nil"/>
              <w:bottom w:val="single" w:sz="4" w:space="0" w:color="808080"/>
            </w:tcBorders>
            <w:shd w:val="clear" w:color="auto" w:fill="auto"/>
            <w:vAlign w:val="bottom"/>
          </w:tcPr>
          <w:p w14:paraId="53EDCF05" w14:textId="5656DDBA" w:rsidR="00DE440F" w:rsidRPr="00926D1C" w:rsidRDefault="00DE440F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color w:val="000000"/>
                <w:sz w:val="20"/>
                <w:szCs w:val="20"/>
                <w:lang w:val="ro-MD"/>
              </w:rPr>
              <w:t>3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52BE65B" w14:textId="77777777" w:rsidR="00DE440F" w:rsidRPr="00926D1C" w:rsidRDefault="00DE440F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nil"/>
              <w:bottom w:val="single" w:sz="4" w:space="0" w:color="808080"/>
            </w:tcBorders>
            <w:shd w:val="clear" w:color="auto" w:fill="auto"/>
            <w:vAlign w:val="bottom"/>
          </w:tcPr>
          <w:p w14:paraId="60310E58" w14:textId="56F31730" w:rsidR="00DE440F" w:rsidRPr="00926D1C" w:rsidRDefault="00DE440F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-</w:t>
            </w:r>
          </w:p>
        </w:tc>
        <w:tc>
          <w:tcPr>
            <w:tcW w:w="1118" w:type="dxa"/>
            <w:tcBorders>
              <w:top w:val="nil"/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55002547" w14:textId="54491BE4" w:rsidR="00DE440F" w:rsidRPr="00926D1C" w:rsidRDefault="00DE440F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color w:val="000000"/>
                <w:sz w:val="20"/>
                <w:szCs w:val="20"/>
                <w:lang w:val="ro-MD"/>
              </w:rPr>
              <w:t>-</w:t>
            </w:r>
          </w:p>
        </w:tc>
      </w:tr>
      <w:tr w:rsidR="00DE440F" w:rsidRPr="00926D1C" w14:paraId="09D6FC83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62EE8B6B" w14:textId="77777777" w:rsidR="00DE440F" w:rsidRPr="00926D1C" w:rsidRDefault="00DE440F" w:rsidP="00DD7187">
            <w:pPr>
              <w:spacing w:after="0" w:line="240" w:lineRule="auto"/>
              <w:ind w:right="-120"/>
              <w:contextualSpacing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74677171" w14:textId="41D49109" w:rsidR="00DE440F" w:rsidRPr="00926D1C" w:rsidRDefault="00DE440F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 448 807 </w:t>
            </w:r>
          </w:p>
        </w:tc>
        <w:tc>
          <w:tcPr>
            <w:tcW w:w="112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3F780518" w14:textId="561DC21B" w:rsidR="00DE440F" w:rsidRPr="00926D1C" w:rsidRDefault="00DE440F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color w:val="000000"/>
                <w:sz w:val="20"/>
                <w:szCs w:val="20"/>
                <w:lang w:val="ro-MD"/>
              </w:rPr>
              <w:t>529 032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A684C19" w14:textId="77777777" w:rsidR="00DE440F" w:rsidRPr="00926D1C" w:rsidRDefault="00DE440F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0E3C47E2" w14:textId="46962CB3" w:rsidR="00DE440F" w:rsidRPr="00926D1C" w:rsidRDefault="00DE440F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446 608</w:t>
            </w:r>
          </w:p>
        </w:tc>
        <w:tc>
          <w:tcPr>
            <w:tcW w:w="11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399E52B0" w14:textId="7B2AD6D1" w:rsidR="00DE440F" w:rsidRPr="00926D1C" w:rsidRDefault="00DE440F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527 508</w:t>
            </w:r>
          </w:p>
        </w:tc>
      </w:tr>
      <w:tr w:rsidR="00DE440F" w:rsidRPr="00926D1C" w14:paraId="544D6030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17A1E783" w14:textId="477723AB" w:rsidR="00DE440F" w:rsidRPr="00926D1C" w:rsidRDefault="00DE440F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Процентные доходы, рассчитанные по методу эффективной процентной ставки</w:t>
            </w:r>
          </w:p>
        </w:tc>
        <w:tc>
          <w:tcPr>
            <w:tcW w:w="14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3B4FBA" w14:textId="0B9323C6" w:rsidR="00DE440F" w:rsidRPr="00926D1C" w:rsidRDefault="00DE440F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 xml:space="preserve">1 996 715 </w:t>
            </w:r>
          </w:p>
        </w:tc>
        <w:tc>
          <w:tcPr>
            <w:tcW w:w="112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36E62D2" w14:textId="1AC9E4FF" w:rsidR="00DE440F" w:rsidRPr="00926D1C" w:rsidRDefault="00DE440F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color w:val="000000"/>
                <w:sz w:val="20"/>
                <w:szCs w:val="20"/>
                <w:lang w:val="ro-MD"/>
              </w:rPr>
              <w:t>689 623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D1DA5F" w14:textId="77777777" w:rsidR="00DE440F" w:rsidRPr="00926D1C" w:rsidRDefault="00DE440F" w:rsidP="00DD7187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B33E50" w14:textId="3D498E87" w:rsidR="00DE440F" w:rsidRPr="00926D1C" w:rsidRDefault="00DE440F" w:rsidP="00DD7187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o-MD"/>
              </w:rPr>
              <w:t>1 994 516</w:t>
            </w:r>
          </w:p>
        </w:tc>
        <w:tc>
          <w:tcPr>
            <w:tcW w:w="11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C6A47B3" w14:textId="3B68ACCE" w:rsidR="00DE440F" w:rsidRPr="00926D1C" w:rsidRDefault="00DE440F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o-MD"/>
              </w:rPr>
              <w:t>688 099</w:t>
            </w:r>
          </w:p>
        </w:tc>
      </w:tr>
      <w:tr w:rsidR="00141F7F" w:rsidRPr="00926D1C" w14:paraId="01EF10EC" w14:textId="77777777" w:rsidTr="00926D1C">
        <w:trPr>
          <w:trHeight w:hRule="exact"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376FFA30" w14:textId="77777777" w:rsidR="00383F3A" w:rsidRPr="00926D1C" w:rsidRDefault="00383F3A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5DDDDABA" w14:textId="77777777" w:rsidR="00383F3A" w:rsidRPr="00926D1C" w:rsidRDefault="00383F3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231D02DD" w14:textId="77777777" w:rsidR="00383F3A" w:rsidRPr="00926D1C" w:rsidRDefault="00383F3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2B03A457" w14:textId="77777777" w:rsidR="00383F3A" w:rsidRPr="00926D1C" w:rsidRDefault="00383F3A" w:rsidP="00DD7187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bottom"/>
          </w:tcPr>
          <w:p w14:paraId="45C45F18" w14:textId="77777777" w:rsidR="00383F3A" w:rsidRPr="00926D1C" w:rsidRDefault="00383F3A" w:rsidP="00DD7187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980EC1F" w14:textId="77777777" w:rsidR="00383F3A" w:rsidRPr="00926D1C" w:rsidRDefault="00383F3A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</w:tr>
      <w:tr w:rsidR="00141F7F" w:rsidRPr="00D436B3" w14:paraId="5A7C7101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4B68CEED" w14:textId="6F5E6B4D" w:rsidR="00383F3A" w:rsidRPr="00926D1C" w:rsidRDefault="00383F3A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Процентные расходы в национальной валюте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0ED745DA" w14:textId="77777777" w:rsidR="00383F3A" w:rsidRPr="00926D1C" w:rsidRDefault="00383F3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  <w:shd w:val="clear" w:color="auto" w:fill="auto"/>
            <w:vAlign w:val="bottom"/>
          </w:tcPr>
          <w:p w14:paraId="739F67F3" w14:textId="77777777" w:rsidR="00383F3A" w:rsidRPr="00926D1C" w:rsidRDefault="00383F3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4563D87A" w14:textId="77777777" w:rsidR="00383F3A" w:rsidRPr="00926D1C" w:rsidRDefault="00383F3A" w:rsidP="00DD7187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bottom"/>
          </w:tcPr>
          <w:p w14:paraId="22749C42" w14:textId="77777777" w:rsidR="00383F3A" w:rsidRPr="00926D1C" w:rsidRDefault="00383F3A" w:rsidP="00DD7187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E9B64F1" w14:textId="77777777" w:rsidR="00383F3A" w:rsidRPr="00926D1C" w:rsidRDefault="00383F3A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</w:tr>
      <w:tr w:rsidR="00F1708A" w:rsidRPr="00926D1C" w14:paraId="5FC4E3F1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73080C27" w14:textId="0FD794E9" w:rsidR="00F1708A" w:rsidRPr="00926D1C" w:rsidRDefault="00F1708A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расходы по свободным денежным средствам</w:t>
            </w:r>
          </w:p>
        </w:tc>
        <w:tc>
          <w:tcPr>
            <w:tcW w:w="1414" w:type="dxa"/>
            <w:tcBorders>
              <w:bottom w:val="nil"/>
            </w:tcBorders>
            <w:shd w:val="clear" w:color="auto" w:fill="auto"/>
            <w:vAlign w:val="bottom"/>
          </w:tcPr>
          <w:p w14:paraId="16C71760" w14:textId="2589DD1B" w:rsidR="00F1708A" w:rsidRPr="00926D1C" w:rsidRDefault="00F1708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(1 285 996)</w:t>
            </w:r>
          </w:p>
        </w:tc>
        <w:tc>
          <w:tcPr>
            <w:tcW w:w="1124" w:type="dxa"/>
            <w:tcBorders>
              <w:bottom w:val="nil"/>
            </w:tcBorders>
            <w:shd w:val="clear" w:color="auto" w:fill="auto"/>
            <w:vAlign w:val="bottom"/>
          </w:tcPr>
          <w:p w14:paraId="6ED8843B" w14:textId="13EE27AA" w:rsidR="00F1708A" w:rsidRPr="00926D1C" w:rsidRDefault="00F1708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(653 277)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0355BAC8" w14:textId="77777777" w:rsidR="00F1708A" w:rsidRPr="00926D1C" w:rsidRDefault="00F1708A" w:rsidP="00DD7187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bottom"/>
          </w:tcPr>
          <w:p w14:paraId="0AEB3B23" w14:textId="362D132A" w:rsidR="00F1708A" w:rsidRPr="00926D1C" w:rsidRDefault="00F1708A" w:rsidP="00DD7187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(1 285 996)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D487531" w14:textId="46A3049B" w:rsidR="00F1708A" w:rsidRPr="00926D1C" w:rsidRDefault="00F1708A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(653 277)</w:t>
            </w:r>
          </w:p>
        </w:tc>
      </w:tr>
      <w:tr w:rsidR="00F1708A" w:rsidRPr="00926D1C" w14:paraId="6792A86A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1F697A3B" w14:textId="14C5C97E" w:rsidR="00F1708A" w:rsidRPr="00926D1C" w:rsidRDefault="00F1708A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расходы по операциям с ценными бумагами и репо</w:t>
            </w:r>
          </w:p>
        </w:tc>
        <w:tc>
          <w:tcPr>
            <w:tcW w:w="1414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C82EF91" w14:textId="1F5F9CBC" w:rsidR="00F1708A" w:rsidRPr="00926D1C" w:rsidRDefault="00F1708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(917 979)</w:t>
            </w:r>
          </w:p>
        </w:tc>
        <w:tc>
          <w:tcPr>
            <w:tcW w:w="1124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362D681D" w14:textId="2A9F4B76" w:rsidR="00F1708A" w:rsidRPr="00926D1C" w:rsidRDefault="00F1708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(132 499)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07000398" w14:textId="77777777" w:rsidR="00F1708A" w:rsidRPr="00926D1C" w:rsidRDefault="00F1708A" w:rsidP="00DD7187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269696A4" w14:textId="7F17B384" w:rsidR="00F1708A" w:rsidRPr="00926D1C" w:rsidRDefault="00F1708A" w:rsidP="00DD7187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(919 279)</w:t>
            </w:r>
          </w:p>
        </w:tc>
        <w:tc>
          <w:tcPr>
            <w:tcW w:w="1118" w:type="dxa"/>
            <w:tcBorders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7A1DE2CC" w14:textId="27FE13D5" w:rsidR="00F1708A" w:rsidRPr="00926D1C" w:rsidRDefault="00F1708A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(133 749)</w:t>
            </w:r>
          </w:p>
        </w:tc>
      </w:tr>
      <w:tr w:rsidR="00F1708A" w:rsidRPr="00926D1C" w14:paraId="4946C70D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0053D18A" w14:textId="77777777" w:rsidR="00F1708A" w:rsidRPr="00926D1C" w:rsidRDefault="00F1708A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2A9A453F" w14:textId="46A4D751" w:rsidR="00F1708A" w:rsidRPr="00926D1C" w:rsidRDefault="00F1708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(2 203 975)</w:t>
            </w:r>
          </w:p>
        </w:tc>
        <w:tc>
          <w:tcPr>
            <w:tcW w:w="1124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7B5F3882" w14:textId="3E228062" w:rsidR="00F1708A" w:rsidRPr="00926D1C" w:rsidRDefault="00F1708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o-MD"/>
              </w:rPr>
              <w:t>(785 776)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0F07CB6A" w14:textId="77777777" w:rsidR="00F1708A" w:rsidRPr="00926D1C" w:rsidRDefault="00F1708A" w:rsidP="00DD7187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39136279" w14:textId="4892CDAF" w:rsidR="00F1708A" w:rsidRPr="00926D1C" w:rsidRDefault="00F1708A" w:rsidP="00DD7187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(2 205 275)</w:t>
            </w:r>
          </w:p>
        </w:tc>
        <w:tc>
          <w:tcPr>
            <w:tcW w:w="1118" w:type="dxa"/>
            <w:tcBorders>
              <w:top w:val="single" w:sz="4" w:space="0" w:color="808080"/>
              <w:bottom w:val="nil"/>
            </w:tcBorders>
            <w:shd w:val="clear" w:color="auto" w:fill="auto"/>
            <w:noWrap/>
            <w:vAlign w:val="bottom"/>
          </w:tcPr>
          <w:p w14:paraId="37B581F1" w14:textId="15C7E428" w:rsidR="00F1708A" w:rsidRPr="00926D1C" w:rsidRDefault="00F1708A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color w:val="000000"/>
                <w:sz w:val="20"/>
                <w:szCs w:val="20"/>
                <w:lang w:val="ro-MD"/>
              </w:rPr>
              <w:t>(787 026)</w:t>
            </w:r>
          </w:p>
        </w:tc>
      </w:tr>
      <w:tr w:rsidR="00141F7F" w:rsidRPr="00D436B3" w14:paraId="3D64394C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3B4F2905" w14:textId="75F8C331" w:rsidR="00383F3A" w:rsidRPr="00926D1C" w:rsidRDefault="00383F3A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Процентные расходы в иностранной валюте</w:t>
            </w:r>
          </w:p>
        </w:tc>
        <w:tc>
          <w:tcPr>
            <w:tcW w:w="1414" w:type="dxa"/>
            <w:tcBorders>
              <w:top w:val="nil"/>
            </w:tcBorders>
            <w:shd w:val="clear" w:color="auto" w:fill="auto"/>
            <w:vAlign w:val="bottom"/>
          </w:tcPr>
          <w:p w14:paraId="66E582D9" w14:textId="77777777" w:rsidR="00383F3A" w:rsidRPr="00926D1C" w:rsidRDefault="00383F3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  <w:tcBorders>
              <w:top w:val="nil"/>
            </w:tcBorders>
            <w:shd w:val="clear" w:color="auto" w:fill="auto"/>
            <w:vAlign w:val="bottom"/>
          </w:tcPr>
          <w:p w14:paraId="0DD9BD77" w14:textId="77777777" w:rsidR="00383F3A" w:rsidRPr="00926D1C" w:rsidRDefault="00383F3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754630A7" w14:textId="77777777" w:rsidR="00383F3A" w:rsidRPr="00926D1C" w:rsidRDefault="00383F3A" w:rsidP="00DD7187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bottom"/>
          </w:tcPr>
          <w:p w14:paraId="20C5803D" w14:textId="77777777" w:rsidR="00383F3A" w:rsidRPr="00926D1C" w:rsidRDefault="00383F3A" w:rsidP="00DD7187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3D56A84" w14:textId="77777777" w:rsidR="00383F3A" w:rsidRPr="00926D1C" w:rsidRDefault="00383F3A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</w:p>
        </w:tc>
      </w:tr>
      <w:tr w:rsidR="00F1708A" w:rsidRPr="00926D1C" w14:paraId="35D272C5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48F6EF4D" w14:textId="3898AFD7" w:rsidR="00F1708A" w:rsidRPr="00926D1C" w:rsidRDefault="00F1708A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Процентные расходы по полученным кредитам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44473CE2" w14:textId="52DD1B46" w:rsidR="00F1708A" w:rsidRPr="00926D1C" w:rsidRDefault="00F1708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(22 735)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7BF770C1" w14:textId="5C3888E6" w:rsidR="00F1708A" w:rsidRPr="00926D1C" w:rsidRDefault="00F1708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(8 680)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5EADA754" w14:textId="77777777" w:rsidR="00F1708A" w:rsidRPr="00926D1C" w:rsidRDefault="00F1708A" w:rsidP="00DD7187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bottom"/>
          </w:tcPr>
          <w:p w14:paraId="46F92E3D" w14:textId="20F468A5" w:rsidR="00F1708A" w:rsidRPr="00926D1C" w:rsidRDefault="00F1708A" w:rsidP="00DD7187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(22 735)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06FA323" w14:textId="733CE5BE" w:rsidR="00F1708A" w:rsidRPr="00926D1C" w:rsidRDefault="00F1708A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(8 680)</w:t>
            </w:r>
          </w:p>
        </w:tc>
      </w:tr>
      <w:tr w:rsidR="00F1708A" w:rsidRPr="00926D1C" w14:paraId="73640A35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6589CF79" w14:textId="63505EEC" w:rsidR="00F1708A" w:rsidRPr="00926D1C" w:rsidRDefault="00F1708A" w:rsidP="00DD7187">
            <w:pPr>
              <w:spacing w:after="0" w:line="240" w:lineRule="auto"/>
              <w:ind w:right="-105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Отрицательные процентные расходы по краткосрочным инвестициям</w:t>
            </w:r>
          </w:p>
        </w:tc>
        <w:tc>
          <w:tcPr>
            <w:tcW w:w="1414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2E941FA" w14:textId="67F8331D" w:rsidR="00F1708A" w:rsidRPr="00926D1C" w:rsidRDefault="00F1708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-</w:t>
            </w:r>
          </w:p>
        </w:tc>
        <w:tc>
          <w:tcPr>
            <w:tcW w:w="1124" w:type="dxa"/>
            <w:tcBorders>
              <w:bottom w:val="single" w:sz="4" w:space="0" w:color="808080"/>
            </w:tcBorders>
            <w:shd w:val="clear" w:color="auto" w:fill="auto"/>
            <w:vAlign w:val="bottom"/>
          </w:tcPr>
          <w:p w14:paraId="7994F8AC" w14:textId="6DE83709" w:rsidR="00F1708A" w:rsidRPr="00926D1C" w:rsidRDefault="00F1708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(29 024)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6314CB34" w14:textId="77777777" w:rsidR="00F1708A" w:rsidRPr="00926D1C" w:rsidRDefault="00F1708A" w:rsidP="00DD7187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2FC4794F" w14:textId="51466812" w:rsidR="00F1708A" w:rsidRPr="00926D1C" w:rsidRDefault="00F1708A" w:rsidP="00DD7187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-</w:t>
            </w:r>
          </w:p>
        </w:tc>
        <w:tc>
          <w:tcPr>
            <w:tcW w:w="1118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1F6EA95D" w14:textId="2395B37C" w:rsidR="00F1708A" w:rsidRPr="00926D1C" w:rsidRDefault="00F1708A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(29 024)</w:t>
            </w:r>
          </w:p>
        </w:tc>
      </w:tr>
      <w:tr w:rsidR="00F1708A" w:rsidRPr="00926D1C" w14:paraId="3261B84F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5FE880A6" w14:textId="77777777" w:rsidR="00F1708A" w:rsidRPr="00926D1C" w:rsidRDefault="00F1708A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59C41A2" w14:textId="214566A8" w:rsidR="00F1708A" w:rsidRPr="00926D1C" w:rsidRDefault="00F1708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(22 735)</w:t>
            </w:r>
          </w:p>
        </w:tc>
        <w:tc>
          <w:tcPr>
            <w:tcW w:w="112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068EE22F" w14:textId="11FB48B4" w:rsidR="00F1708A" w:rsidRPr="00926D1C" w:rsidRDefault="00F1708A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(37 704)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3287E224" w14:textId="77777777" w:rsidR="00F1708A" w:rsidRPr="00926D1C" w:rsidRDefault="00F1708A" w:rsidP="00DD7187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1FB5A58" w14:textId="3A4D6F63" w:rsidR="00F1708A" w:rsidRPr="00926D1C" w:rsidRDefault="00F1708A" w:rsidP="00DD7187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(22 735)</w:t>
            </w:r>
          </w:p>
        </w:tc>
        <w:tc>
          <w:tcPr>
            <w:tcW w:w="1118" w:type="dxa"/>
            <w:tcBorders>
              <w:top w:val="single" w:sz="8" w:space="0" w:color="808080"/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42C59E96" w14:textId="4F1696FF" w:rsidR="00F1708A" w:rsidRPr="00926D1C" w:rsidRDefault="00F1708A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(37 704)</w:t>
            </w:r>
          </w:p>
        </w:tc>
      </w:tr>
      <w:tr w:rsidR="00F1708A" w:rsidRPr="00926D1C" w14:paraId="014D7475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69E8840A" w14:textId="4D79939A" w:rsidR="00F1708A" w:rsidRPr="00926D1C" w:rsidRDefault="00F1708A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  <w:t>Процентные расходы</w:t>
            </w:r>
          </w:p>
        </w:tc>
        <w:tc>
          <w:tcPr>
            <w:tcW w:w="141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81E6F91" w14:textId="1C153B20" w:rsidR="00F1708A" w:rsidRPr="00926D1C" w:rsidRDefault="00F1708A" w:rsidP="00DD7187">
            <w:pPr>
              <w:spacing w:after="0" w:line="240" w:lineRule="auto"/>
              <w:ind w:left="-105" w:hanging="105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(2 226 710)</w:t>
            </w:r>
          </w:p>
        </w:tc>
        <w:tc>
          <w:tcPr>
            <w:tcW w:w="1124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62AAD1C9" w14:textId="48B99606" w:rsidR="00F1708A" w:rsidRPr="00926D1C" w:rsidRDefault="00F1708A" w:rsidP="00DD7187">
            <w:pPr>
              <w:spacing w:after="0" w:line="240" w:lineRule="auto"/>
              <w:ind w:left="31" w:hanging="105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(823 480)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4E3EEA21" w14:textId="77777777" w:rsidR="00F1708A" w:rsidRPr="00926D1C" w:rsidRDefault="00F1708A" w:rsidP="00DD7187">
            <w:pPr>
              <w:spacing w:after="0" w:line="240" w:lineRule="auto"/>
              <w:ind w:left="31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EA8D338" w14:textId="01461463" w:rsidR="00F1708A" w:rsidRPr="00926D1C" w:rsidRDefault="00F1708A" w:rsidP="00DD7187">
            <w:pPr>
              <w:spacing w:after="0" w:line="240" w:lineRule="auto"/>
              <w:ind w:left="-22" w:hanging="201"/>
              <w:contextualSpacing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(2 228 010)</w:t>
            </w:r>
          </w:p>
        </w:tc>
        <w:tc>
          <w:tcPr>
            <w:tcW w:w="111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noWrap/>
            <w:vAlign w:val="bottom"/>
          </w:tcPr>
          <w:p w14:paraId="0DBC0661" w14:textId="3599DE91" w:rsidR="00F1708A" w:rsidRPr="00926D1C" w:rsidRDefault="00F1708A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(824 730)</w:t>
            </w:r>
          </w:p>
        </w:tc>
      </w:tr>
      <w:tr w:rsidR="00F1708A" w:rsidRPr="00926D1C" w14:paraId="1B1F5A9A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13796F58" w14:textId="10C024EB" w:rsidR="00F1708A" w:rsidRPr="00926D1C" w:rsidRDefault="00F1708A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Прочие аналогичные расходы</w:t>
            </w:r>
          </w:p>
        </w:tc>
        <w:tc>
          <w:tcPr>
            <w:tcW w:w="1414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34B13759" w14:textId="67D0FD78" w:rsidR="00F1708A" w:rsidRPr="00926D1C" w:rsidRDefault="00F1708A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(277)</w:t>
            </w:r>
          </w:p>
        </w:tc>
        <w:tc>
          <w:tcPr>
            <w:tcW w:w="1124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14:paraId="0DA50F0A" w14:textId="1E7A4433" w:rsidR="00F1708A" w:rsidRPr="00926D1C" w:rsidRDefault="00F1708A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</w:t>
            </w:r>
            <w:r w:rsidRPr="00926D1C">
              <w:rPr>
                <w:rFonts w:ascii="PermianSerifTypeface" w:hAnsi="PermianSerifTypeface"/>
                <w:bCs/>
                <w:sz w:val="20"/>
                <w:szCs w:val="20"/>
                <w:lang w:val="ro-MD"/>
              </w:rPr>
              <w:t>122</w:t>
            </w: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103EA939" w14:textId="77777777" w:rsidR="00F1708A" w:rsidRPr="00926D1C" w:rsidRDefault="00F1708A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center"/>
          </w:tcPr>
          <w:p w14:paraId="4EEE9C7A" w14:textId="666F001E" w:rsidR="00F1708A" w:rsidRPr="00926D1C" w:rsidRDefault="00F1708A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(151)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2F5CF52" w14:textId="663C7ED8" w:rsidR="00F1708A" w:rsidRPr="00926D1C" w:rsidRDefault="00F1708A" w:rsidP="00DD7187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(113)</w:t>
            </w:r>
          </w:p>
        </w:tc>
      </w:tr>
      <w:tr w:rsidR="00F1708A" w:rsidRPr="00926D1C" w14:paraId="62FFA468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1CE3894F" w14:textId="19B2EC31" w:rsidR="00F1708A" w:rsidRPr="00926D1C" w:rsidRDefault="00DC1476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 xml:space="preserve">Чистый процентный расход </w:t>
            </w:r>
            <w:r w:rsidR="00F1708A"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и прочие аналогичные расходы</w:t>
            </w:r>
          </w:p>
        </w:tc>
        <w:tc>
          <w:tcPr>
            <w:tcW w:w="1414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60175A7D" w14:textId="622DD0EE" w:rsidR="00F1708A" w:rsidRPr="00926D1C" w:rsidRDefault="00F1708A" w:rsidP="00DD7187">
            <w:pPr>
              <w:tabs>
                <w:tab w:val="left" w:pos="1712"/>
              </w:tabs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(230 272)</w:t>
            </w:r>
          </w:p>
        </w:tc>
        <w:tc>
          <w:tcPr>
            <w:tcW w:w="1124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7AF74F7D" w14:textId="4B36F8D9" w:rsidR="00F1708A" w:rsidRPr="00926D1C" w:rsidRDefault="00F1708A" w:rsidP="00DD7187">
            <w:pPr>
              <w:tabs>
                <w:tab w:val="left" w:pos="1712"/>
              </w:tabs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(133 979)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7CB165B1" w14:textId="77777777" w:rsidR="00F1708A" w:rsidRPr="00926D1C" w:rsidRDefault="00F1708A" w:rsidP="00DD7187">
            <w:pPr>
              <w:tabs>
                <w:tab w:val="left" w:pos="1712"/>
              </w:tabs>
              <w:spacing w:after="0" w:line="240" w:lineRule="auto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3C973E19" w14:textId="6077C5EF" w:rsidR="00F1708A" w:rsidRPr="00926D1C" w:rsidRDefault="00F1708A" w:rsidP="00DD7187">
            <w:pPr>
              <w:tabs>
                <w:tab w:val="left" w:pos="1712"/>
              </w:tabs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(233 645)</w:t>
            </w:r>
          </w:p>
        </w:tc>
        <w:tc>
          <w:tcPr>
            <w:tcW w:w="111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1136163C" w14:textId="5B14B438" w:rsidR="00F1708A" w:rsidRPr="00926D1C" w:rsidRDefault="00F1708A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(136 744)</w:t>
            </w:r>
          </w:p>
        </w:tc>
      </w:tr>
      <w:tr w:rsidR="00141F7F" w:rsidRPr="00926D1C" w14:paraId="739032BB" w14:textId="77777777" w:rsidTr="00926D1C">
        <w:trPr>
          <w:trHeight w:hRule="exact"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045314DC" w14:textId="77777777" w:rsidR="00383F3A" w:rsidRPr="00926D1C" w:rsidRDefault="00383F3A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414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0253DEB1" w14:textId="77777777" w:rsidR="00383F3A" w:rsidRPr="00926D1C" w:rsidRDefault="00383F3A" w:rsidP="00DD7187">
            <w:pPr>
              <w:tabs>
                <w:tab w:val="left" w:pos="1712"/>
              </w:tabs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124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6692EA90" w14:textId="77777777" w:rsidR="00383F3A" w:rsidRPr="00926D1C" w:rsidRDefault="00383F3A" w:rsidP="00DD7187">
            <w:pPr>
              <w:tabs>
                <w:tab w:val="left" w:pos="1712"/>
              </w:tabs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2D3D9458" w14:textId="77777777" w:rsidR="00383F3A" w:rsidRPr="00926D1C" w:rsidRDefault="00383F3A" w:rsidP="00DD7187">
            <w:pPr>
              <w:tabs>
                <w:tab w:val="left" w:pos="1712"/>
              </w:tabs>
              <w:spacing w:after="0" w:line="240" w:lineRule="auto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2E70D261" w14:textId="77777777" w:rsidR="00383F3A" w:rsidRPr="00926D1C" w:rsidRDefault="00383F3A" w:rsidP="00DD7187">
            <w:pPr>
              <w:tabs>
                <w:tab w:val="left" w:pos="1712"/>
              </w:tabs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118" w:type="dxa"/>
            <w:tcBorders>
              <w:top w:val="single" w:sz="8" w:space="0" w:color="808080"/>
            </w:tcBorders>
            <w:shd w:val="clear" w:color="auto" w:fill="auto"/>
            <w:noWrap/>
            <w:vAlign w:val="bottom"/>
          </w:tcPr>
          <w:p w14:paraId="3943A7FC" w14:textId="77777777" w:rsidR="00383F3A" w:rsidRPr="00926D1C" w:rsidRDefault="00383F3A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</w:tr>
      <w:tr w:rsidR="00F1708A" w:rsidRPr="00926D1C" w14:paraId="79F46DE5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7DF71502" w14:textId="001BE254" w:rsidR="00F1708A" w:rsidRPr="00926D1C" w:rsidRDefault="00DC1476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o-MD"/>
              </w:rPr>
              <w:t>(</w:t>
            </w:r>
            <w:r w:rsidR="00BA4995"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Убытки)/ </w:t>
            </w:r>
            <w:r w:rsidR="00C87564"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доходы от</w:t>
            </w:r>
            <w:r w:rsidR="00F1708A"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 сделок, курсовых валютных разниц и переоценки драгоценных металлов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0AEDEF48" w14:textId="72B68044" w:rsidR="00F1708A" w:rsidRPr="00926D1C" w:rsidRDefault="00F1708A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(2 698 172)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650152E1" w14:textId="2F8F7C96" w:rsidR="00F1708A" w:rsidRPr="00926D1C" w:rsidRDefault="00F1708A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3 047 996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7ED564A4" w14:textId="77777777" w:rsidR="00F1708A" w:rsidRPr="00926D1C" w:rsidRDefault="00F1708A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14:paraId="5B82DECA" w14:textId="7E621CA5" w:rsidR="00F1708A" w:rsidRPr="00926D1C" w:rsidRDefault="00F1708A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(2 698 202)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14:paraId="46A9C4EC" w14:textId="1D595F29" w:rsidR="00F1708A" w:rsidRPr="00926D1C" w:rsidRDefault="00F1708A" w:rsidP="00DD7187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3 048 009</w:t>
            </w:r>
          </w:p>
        </w:tc>
      </w:tr>
      <w:tr w:rsidR="00F1708A" w:rsidRPr="00926D1C" w14:paraId="7BFB910F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center"/>
          </w:tcPr>
          <w:p w14:paraId="3128D411" w14:textId="3BC6692D" w:rsidR="00F1708A" w:rsidRPr="00926D1C" w:rsidRDefault="00F1708A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(Убытки)/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доходы от сделок с финансовыми активами, оцениваемыми по справедливой стоимости через прибыль или убыток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065C5CFB" w14:textId="27FE12E5" w:rsidR="00F1708A" w:rsidRPr="00926D1C" w:rsidRDefault="00F1708A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(15 929)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2067C3A1" w14:textId="628CAEC2" w:rsidR="00F1708A" w:rsidRPr="00926D1C" w:rsidRDefault="00F1708A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679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47C8C50A" w14:textId="77777777" w:rsidR="00F1708A" w:rsidRPr="00926D1C" w:rsidRDefault="00F1708A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14:paraId="7C3BEA65" w14:textId="44CFC65C" w:rsidR="00F1708A" w:rsidRPr="00926D1C" w:rsidRDefault="00F1708A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(15 929)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14:paraId="219C15C3" w14:textId="0F23DF0F" w:rsidR="00F1708A" w:rsidRPr="00926D1C" w:rsidRDefault="00F1708A" w:rsidP="00DD7187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679</w:t>
            </w:r>
          </w:p>
        </w:tc>
      </w:tr>
      <w:tr w:rsidR="00BA4995" w:rsidRPr="00926D1C" w14:paraId="7AABB1C6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center"/>
          </w:tcPr>
          <w:p w14:paraId="7CF8E7A1" w14:textId="36ACA1BD" w:rsidR="00BA4995" w:rsidRPr="00926D1C" w:rsidRDefault="00BA4995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Прочие доходы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73DAFD00" w14:textId="65B96964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 xml:space="preserve">29 127 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3328F066" w14:textId="30B2D3C6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34 560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449B3539" w14:textId="77777777" w:rsidR="00BA4995" w:rsidRPr="00926D1C" w:rsidRDefault="00BA4995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shd w:val="clear" w:color="auto" w:fill="auto"/>
            <w:vAlign w:val="bottom"/>
          </w:tcPr>
          <w:p w14:paraId="1155A014" w14:textId="7672AB4A" w:rsidR="00BA4995" w:rsidRPr="00926D1C" w:rsidRDefault="00BA4995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 xml:space="preserve">26 108 </w:t>
            </w:r>
          </w:p>
        </w:tc>
        <w:tc>
          <w:tcPr>
            <w:tcW w:w="1118" w:type="dxa"/>
            <w:shd w:val="clear" w:color="auto" w:fill="auto"/>
            <w:noWrap/>
            <w:vAlign w:val="bottom"/>
          </w:tcPr>
          <w:p w14:paraId="1CEAE6F9" w14:textId="2732425C" w:rsidR="00BA4995" w:rsidRPr="00926D1C" w:rsidRDefault="00BA4995" w:rsidP="00926D1C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 xml:space="preserve">30 985 </w:t>
            </w:r>
          </w:p>
        </w:tc>
      </w:tr>
      <w:tr w:rsidR="00BA4995" w:rsidRPr="00926D1C" w14:paraId="563CCF65" w14:textId="77777777" w:rsidTr="00926D1C">
        <w:trPr>
          <w:trHeight w:hRule="exact" w:val="211"/>
        </w:trPr>
        <w:tc>
          <w:tcPr>
            <w:tcW w:w="6051" w:type="dxa"/>
            <w:shd w:val="clear" w:color="auto" w:fill="auto"/>
            <w:noWrap/>
            <w:vAlign w:val="bottom"/>
          </w:tcPr>
          <w:p w14:paraId="7EBA39B1" w14:textId="469E1484" w:rsidR="00BA4995" w:rsidRPr="00926D1C" w:rsidRDefault="00DC1476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Убытки</w:t>
            </w: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 xml:space="preserve"> </w:t>
            </w:r>
            <w:r w:rsidR="00BA4995"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 xml:space="preserve">от переоценки ценных бумаг  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49444379" w14:textId="09EADAB9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(118 704)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5ADD5BC9" w14:textId="11D5A8E0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(9 348)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79171E42" w14:textId="77777777" w:rsidR="00BA4995" w:rsidRPr="00926D1C" w:rsidRDefault="00BA4995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bottom"/>
          </w:tcPr>
          <w:p w14:paraId="06F0CDEE" w14:textId="4CBC5FA8" w:rsidR="00BA4995" w:rsidRPr="00926D1C" w:rsidRDefault="00BA4995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(118 704)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F18D1FD" w14:textId="71AE9867" w:rsidR="00BA4995" w:rsidRPr="00926D1C" w:rsidRDefault="00BA4995" w:rsidP="00DD7187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(9 348)</w:t>
            </w:r>
          </w:p>
        </w:tc>
      </w:tr>
      <w:tr w:rsidR="00BA4995" w:rsidRPr="00926D1C" w14:paraId="40C2F872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75ED3286" w14:textId="60E213AC" w:rsidR="00BA4995" w:rsidRPr="00926D1C" w:rsidRDefault="00BA4995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Расходы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на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обесценение финансовых активов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27B840E8" w14:textId="3D65AEC1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(3 480)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629ED26E" w14:textId="428ECC57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(37 905)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01FBB11D" w14:textId="77777777" w:rsidR="00BA4995" w:rsidRPr="00926D1C" w:rsidRDefault="00BA4995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bottom"/>
          </w:tcPr>
          <w:p w14:paraId="2FC64F46" w14:textId="30785874" w:rsidR="00BA4995" w:rsidRPr="00926D1C" w:rsidRDefault="00BA4995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(3 481)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5DBEA93" w14:textId="7F260FB8" w:rsidR="00BA4995" w:rsidRPr="00926D1C" w:rsidRDefault="00BA4995" w:rsidP="00DD7187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(37 918)</w:t>
            </w:r>
          </w:p>
        </w:tc>
      </w:tr>
      <w:tr w:rsidR="00BA4995" w:rsidRPr="00926D1C" w14:paraId="55611CBB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12C20E99" w14:textId="5CBC520D" w:rsidR="00BA4995" w:rsidRPr="00926D1C" w:rsidRDefault="00BA4995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Расходы на персонал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39B6CD9D" w14:textId="1A8AAF07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(148 312)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34FAC532" w14:textId="45A56CD9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(103 739)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136BDBBE" w14:textId="77777777" w:rsidR="00BA4995" w:rsidRPr="00926D1C" w:rsidRDefault="00BA4995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bottom"/>
          </w:tcPr>
          <w:p w14:paraId="2BD9D3ED" w14:textId="1C0AF4F3" w:rsidR="00BA4995" w:rsidRPr="00926D1C" w:rsidRDefault="00BA4995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(144 752)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EA40503" w14:textId="6F34C1F4" w:rsidR="00BA4995" w:rsidRPr="00926D1C" w:rsidRDefault="00BA4995" w:rsidP="00DD7187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(100 697)</w:t>
            </w:r>
          </w:p>
        </w:tc>
      </w:tr>
      <w:tr w:rsidR="00BA4995" w:rsidRPr="00926D1C" w14:paraId="256FC621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09980735" w14:textId="2C839232" w:rsidR="00BA4995" w:rsidRPr="00926D1C" w:rsidRDefault="00BA4995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Расходы на производство национальной валюты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2859247E" w14:textId="15D3B31F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(134)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7ED9BE00" w14:textId="7EBF4902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(15 695)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025B0A1A" w14:textId="77777777" w:rsidR="00BA4995" w:rsidRPr="00926D1C" w:rsidRDefault="00BA4995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bottom"/>
          </w:tcPr>
          <w:p w14:paraId="799F43E9" w14:textId="1E9B8F9B" w:rsidR="00BA4995" w:rsidRPr="00926D1C" w:rsidRDefault="00BA4995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(134)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DFD31E3" w14:textId="5D89B749" w:rsidR="00BA4995" w:rsidRPr="00926D1C" w:rsidRDefault="00BA4995" w:rsidP="00DD7187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(15 695)</w:t>
            </w:r>
          </w:p>
        </w:tc>
      </w:tr>
      <w:tr w:rsidR="00BA4995" w:rsidRPr="00926D1C" w14:paraId="79F6DF6D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4C10B2C9" w14:textId="78794A79" w:rsidR="00BA4995" w:rsidRPr="00926D1C" w:rsidRDefault="00BA4995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Расходы на износ и амортизацию</w:t>
            </w:r>
          </w:p>
        </w:tc>
        <w:tc>
          <w:tcPr>
            <w:tcW w:w="1414" w:type="dxa"/>
            <w:shd w:val="clear" w:color="auto" w:fill="auto"/>
            <w:vAlign w:val="bottom"/>
          </w:tcPr>
          <w:p w14:paraId="37A797D8" w14:textId="23A5AD30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(16 520)</w:t>
            </w:r>
          </w:p>
        </w:tc>
        <w:tc>
          <w:tcPr>
            <w:tcW w:w="1124" w:type="dxa"/>
            <w:shd w:val="clear" w:color="auto" w:fill="auto"/>
            <w:vAlign w:val="bottom"/>
          </w:tcPr>
          <w:p w14:paraId="3379169B" w14:textId="47DE56DC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(13 855)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476509AE" w14:textId="77777777" w:rsidR="00BA4995" w:rsidRPr="00926D1C" w:rsidRDefault="00BA4995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nil"/>
            </w:tcBorders>
            <w:shd w:val="clear" w:color="auto" w:fill="auto"/>
            <w:vAlign w:val="bottom"/>
          </w:tcPr>
          <w:p w14:paraId="0A313C18" w14:textId="032131D2" w:rsidR="00BA4995" w:rsidRPr="00926D1C" w:rsidRDefault="00BA4995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(16 242)</w:t>
            </w:r>
          </w:p>
        </w:tc>
        <w:tc>
          <w:tcPr>
            <w:tcW w:w="1118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DDB1D11" w14:textId="0CFCB295" w:rsidR="00BA4995" w:rsidRPr="00926D1C" w:rsidRDefault="00BA4995" w:rsidP="00DD7187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(13 469)</w:t>
            </w:r>
          </w:p>
        </w:tc>
      </w:tr>
      <w:tr w:rsidR="00BA4995" w:rsidRPr="00926D1C" w14:paraId="49040A8B" w14:textId="77777777" w:rsidTr="00926D1C">
        <w:trPr>
          <w:trHeight w:val="97"/>
        </w:trPr>
        <w:tc>
          <w:tcPr>
            <w:tcW w:w="6051" w:type="dxa"/>
            <w:shd w:val="clear" w:color="auto" w:fill="auto"/>
            <w:noWrap/>
            <w:vAlign w:val="bottom"/>
          </w:tcPr>
          <w:p w14:paraId="0EE65907" w14:textId="6EF7B74B" w:rsidR="00BA4995" w:rsidRPr="00926D1C" w:rsidRDefault="00BA4995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t>Прочие операционные расходы</w:t>
            </w:r>
          </w:p>
        </w:tc>
        <w:tc>
          <w:tcPr>
            <w:tcW w:w="1414" w:type="dxa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35F221E8" w14:textId="37AE3085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(29 982)</w:t>
            </w:r>
          </w:p>
        </w:tc>
        <w:tc>
          <w:tcPr>
            <w:tcW w:w="1124" w:type="dxa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250B9C3F" w14:textId="7238C6B9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(32 962)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14:paraId="4975E3FE" w14:textId="77777777" w:rsidR="00BA4995" w:rsidRPr="00926D1C" w:rsidRDefault="00BA4995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4AB86F93" w14:textId="5353A49A" w:rsidR="00BA4995" w:rsidRPr="00926D1C" w:rsidRDefault="00BA4995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(29 110)</w:t>
            </w:r>
          </w:p>
        </w:tc>
        <w:tc>
          <w:tcPr>
            <w:tcW w:w="1118" w:type="dxa"/>
            <w:tcBorders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209D2E40" w14:textId="57E60E01" w:rsidR="00BA4995" w:rsidRPr="00926D1C" w:rsidRDefault="00BA4995" w:rsidP="00DD7187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(32 355)</w:t>
            </w:r>
          </w:p>
        </w:tc>
      </w:tr>
      <w:tr w:rsidR="00BA4995" w:rsidRPr="00926D1C" w14:paraId="23831F98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3B15404D" w14:textId="3E849FB8" w:rsidR="00BA4995" w:rsidRPr="00926D1C" w:rsidRDefault="007030C9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o-MD"/>
              </w:rPr>
              <w:t>(</w:t>
            </w:r>
            <w:r w:rsidR="00BA4995"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Убыток</w:t>
            </w: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o-MD"/>
              </w:rPr>
              <w:t>)</w:t>
            </w:r>
            <w:r w:rsidR="00BA4995"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 xml:space="preserve"> /Прибыль до налогообложения</w:t>
            </w:r>
          </w:p>
        </w:tc>
        <w:tc>
          <w:tcPr>
            <w:tcW w:w="141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3950A097" w14:textId="2E9E8E35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(3 232 378)</w:t>
            </w:r>
          </w:p>
        </w:tc>
        <w:tc>
          <w:tcPr>
            <w:tcW w:w="112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652D99CB" w14:textId="1E25C02B" w:rsidR="00BA4995" w:rsidRPr="00926D1C" w:rsidRDefault="00BA4995" w:rsidP="00DD7187">
            <w:pPr>
              <w:spacing w:after="0" w:line="240" w:lineRule="auto"/>
              <w:ind w:hanging="105"/>
              <w:jc w:val="right"/>
              <w:rPr>
                <w:rFonts w:ascii="PermianSerifTypeface" w:eastAsia="Times New Roman" w:hAnsi="PermianSerifTypeface"/>
                <w:b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color w:val="000000"/>
                <w:sz w:val="20"/>
                <w:szCs w:val="20"/>
                <w:lang w:val="ro-MD"/>
              </w:rPr>
              <w:t>2 735 752</w:t>
            </w:r>
          </w:p>
        </w:tc>
        <w:tc>
          <w:tcPr>
            <w:tcW w:w="24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2171F1E4" w14:textId="77777777" w:rsidR="00BA4995" w:rsidRPr="00926D1C" w:rsidRDefault="00BA4995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2B5975F2" w14:textId="13BE580F" w:rsidR="00BA4995" w:rsidRPr="00926D1C" w:rsidRDefault="00BA4995" w:rsidP="00DD7187">
            <w:pPr>
              <w:spacing w:after="0" w:line="240" w:lineRule="auto"/>
              <w:ind w:hanging="2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(3 234 091)</w:t>
            </w:r>
          </w:p>
        </w:tc>
        <w:tc>
          <w:tcPr>
            <w:tcW w:w="1118" w:type="dxa"/>
            <w:tcBorders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220E8EA5" w14:textId="5690BC4B" w:rsidR="00BA4995" w:rsidRPr="00926D1C" w:rsidRDefault="00BA4995" w:rsidP="00DD7187">
            <w:pPr>
              <w:spacing w:after="0" w:line="240" w:lineRule="auto"/>
              <w:ind w:hanging="10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2 733 447</w:t>
            </w:r>
          </w:p>
        </w:tc>
      </w:tr>
      <w:tr w:rsidR="005830AC" w:rsidRPr="00926D1C" w14:paraId="2C7FDA3C" w14:textId="77777777" w:rsidTr="00926D1C">
        <w:trPr>
          <w:trHeight w:val="42"/>
        </w:trPr>
        <w:tc>
          <w:tcPr>
            <w:tcW w:w="6051" w:type="dxa"/>
            <w:shd w:val="clear" w:color="auto" w:fill="auto"/>
            <w:noWrap/>
            <w:vAlign w:val="bottom"/>
          </w:tcPr>
          <w:p w14:paraId="1D643593" w14:textId="13F980C6" w:rsidR="005830AC" w:rsidRPr="00926D1C" w:rsidRDefault="005830AC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o-MD"/>
              </w:rPr>
            </w:pPr>
            <w:r w:rsidRPr="00926D1C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Расход по налогу на прибыль дочерней компании</w:t>
            </w:r>
          </w:p>
        </w:tc>
        <w:tc>
          <w:tcPr>
            <w:tcW w:w="141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28680180" w14:textId="4B48EB78" w:rsidR="005830AC" w:rsidRPr="005830AC" w:rsidRDefault="005830AC" w:rsidP="00DD7187">
            <w:pPr>
              <w:spacing w:after="0" w:line="240" w:lineRule="auto"/>
              <w:ind w:hanging="105"/>
              <w:jc w:val="right"/>
              <w:rPr>
                <w:rFonts w:ascii="PermianSerifTypeface" w:hAnsi="PermianSerifTypeface" w:cs="Calibri"/>
                <w:bCs/>
                <w:color w:val="000000"/>
                <w:sz w:val="20"/>
                <w:szCs w:val="20"/>
                <w:lang w:val="ro-MD"/>
              </w:rPr>
            </w:pPr>
            <w:r w:rsidRPr="005830AC">
              <w:rPr>
                <w:rFonts w:ascii="PermianSerifTypeface" w:hAnsi="PermianSerifTypeface" w:cs="Calibri"/>
                <w:bCs/>
                <w:color w:val="000000"/>
                <w:sz w:val="20"/>
                <w:szCs w:val="20"/>
                <w:lang w:val="ro-MD"/>
              </w:rPr>
              <w:t>-</w:t>
            </w:r>
          </w:p>
        </w:tc>
        <w:tc>
          <w:tcPr>
            <w:tcW w:w="112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390E4EB6" w14:textId="477E43A5" w:rsidR="005830AC" w:rsidRPr="005830AC" w:rsidRDefault="005830AC" w:rsidP="00DD7187">
            <w:pPr>
              <w:spacing w:after="0" w:line="240" w:lineRule="auto"/>
              <w:ind w:hanging="105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  <w:r w:rsidRPr="005830A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-</w:t>
            </w:r>
          </w:p>
        </w:tc>
        <w:tc>
          <w:tcPr>
            <w:tcW w:w="24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74EE7355" w14:textId="77777777" w:rsidR="005830AC" w:rsidRPr="005830AC" w:rsidRDefault="005830AC" w:rsidP="00DD7187">
            <w:pPr>
              <w:spacing w:after="0" w:line="240" w:lineRule="auto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7ACB6E33" w14:textId="51F5DDBE" w:rsidR="005830AC" w:rsidRPr="005830AC" w:rsidRDefault="005830AC" w:rsidP="00DD7187">
            <w:pPr>
              <w:spacing w:after="0" w:line="240" w:lineRule="auto"/>
              <w:ind w:hanging="201"/>
              <w:jc w:val="right"/>
              <w:rPr>
                <w:rFonts w:ascii="PermianSerifTypeface" w:hAnsi="PermianSerifTypeface"/>
                <w:sz w:val="20"/>
                <w:szCs w:val="20"/>
                <w:lang w:val="ro-MD"/>
              </w:rPr>
            </w:pPr>
            <w:r w:rsidRPr="005830AC">
              <w:rPr>
                <w:rFonts w:ascii="PermianSerifTypeface" w:hAnsi="PermianSerifTypeface"/>
                <w:sz w:val="20"/>
                <w:szCs w:val="20"/>
                <w:lang w:val="ro-MD"/>
              </w:rPr>
              <w:t>-</w:t>
            </w:r>
          </w:p>
        </w:tc>
        <w:tc>
          <w:tcPr>
            <w:tcW w:w="1118" w:type="dxa"/>
            <w:tcBorders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694F9123" w14:textId="6048A2D4" w:rsidR="005830AC" w:rsidRPr="005830AC" w:rsidRDefault="005830AC" w:rsidP="00DD7187">
            <w:pPr>
              <w:spacing w:after="0" w:line="240" w:lineRule="auto"/>
              <w:ind w:hanging="10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</w:pPr>
            <w:r w:rsidRPr="005830AC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-</w:t>
            </w:r>
          </w:p>
        </w:tc>
      </w:tr>
      <w:tr w:rsidR="00BA4995" w:rsidRPr="00926D1C" w14:paraId="6DA52382" w14:textId="77777777" w:rsidTr="00926D1C">
        <w:trPr>
          <w:trHeight w:val="42"/>
        </w:trPr>
        <w:tc>
          <w:tcPr>
            <w:tcW w:w="605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45CF99C" w14:textId="50A3F89C" w:rsidR="00BA4995" w:rsidRPr="00926D1C" w:rsidRDefault="00BA4995" w:rsidP="00DD7187">
            <w:pPr>
              <w:spacing w:after="0" w:line="240" w:lineRule="auto"/>
              <w:ind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 xml:space="preserve">ЧИСТЫЙ (АЯ) </w:t>
            </w:r>
            <w:r w:rsidR="007030C9"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(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УБЫТОК</w:t>
            </w:r>
            <w:r w:rsidR="007030C9"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)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 xml:space="preserve"> / ПРИБЫЛЬ</w:t>
            </w:r>
          </w:p>
        </w:tc>
        <w:tc>
          <w:tcPr>
            <w:tcW w:w="141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7DE09AD4" w14:textId="14156BED" w:rsidR="00BA4995" w:rsidRPr="00926D1C" w:rsidRDefault="00BA4995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(3 232 378)</w:t>
            </w:r>
          </w:p>
        </w:tc>
        <w:tc>
          <w:tcPr>
            <w:tcW w:w="112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2CA0A9F5" w14:textId="108675B6" w:rsidR="00BA4995" w:rsidRPr="00926D1C" w:rsidRDefault="00BA4995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sz w:val="20"/>
                <w:szCs w:val="20"/>
                <w:lang w:val="ro-MD"/>
              </w:rPr>
              <w:t>2 735 752</w:t>
            </w:r>
          </w:p>
        </w:tc>
        <w:tc>
          <w:tcPr>
            <w:tcW w:w="24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2AA4E80F" w14:textId="77777777" w:rsidR="00BA4995" w:rsidRPr="00926D1C" w:rsidRDefault="00BA4995" w:rsidP="00DD7187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36748F1" w14:textId="722458C8" w:rsidR="00BA4995" w:rsidRPr="00926D1C" w:rsidRDefault="00BA4995" w:rsidP="00DD7187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(3 234 091)</w:t>
            </w:r>
          </w:p>
        </w:tc>
        <w:tc>
          <w:tcPr>
            <w:tcW w:w="111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7C65EF95" w14:textId="75D03D07" w:rsidR="00BA4995" w:rsidRPr="00926D1C" w:rsidRDefault="00BA4995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2 733 447</w:t>
            </w:r>
          </w:p>
        </w:tc>
      </w:tr>
      <w:tr w:rsidR="00BA4995" w:rsidRPr="00926D1C" w14:paraId="72074993" w14:textId="77777777" w:rsidTr="00943D47">
        <w:trPr>
          <w:trHeight w:val="32"/>
        </w:trPr>
        <w:tc>
          <w:tcPr>
            <w:tcW w:w="605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3502025" w14:textId="196C1102" w:rsidR="00BA4995" w:rsidRPr="00926D1C" w:rsidRDefault="00BA4995" w:rsidP="00DD7187">
            <w:pPr>
              <w:spacing w:after="0" w:line="240" w:lineRule="auto"/>
              <w:ind w:left="179"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 xml:space="preserve">От </w:t>
            </w:r>
            <w:r w:rsidRPr="00926D1C">
              <w:rPr>
                <w:rFonts w:ascii="PermianSerifTypeface" w:hAnsi="PermianSerifTypeface"/>
                <w:sz w:val="20"/>
                <w:szCs w:val="20"/>
                <w:lang w:val="ru-RU"/>
              </w:rPr>
              <w:t>деятельности Банка</w:t>
            </w:r>
          </w:p>
        </w:tc>
        <w:tc>
          <w:tcPr>
            <w:tcW w:w="1414" w:type="dxa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63EE1743" w14:textId="4560F476" w:rsidR="00BA4995" w:rsidRPr="00926D1C" w:rsidRDefault="00BA4995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(3 234 091)</w:t>
            </w:r>
          </w:p>
        </w:tc>
        <w:tc>
          <w:tcPr>
            <w:tcW w:w="1124" w:type="dxa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3FFF4DDD" w14:textId="174B4693" w:rsidR="00BA4995" w:rsidRPr="00926D1C" w:rsidRDefault="00BA4995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2 733 447</w:t>
            </w:r>
          </w:p>
        </w:tc>
        <w:tc>
          <w:tcPr>
            <w:tcW w:w="240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5B0009" w14:textId="77777777" w:rsidR="00BA4995" w:rsidRPr="00926D1C" w:rsidRDefault="00BA4995" w:rsidP="00DD7187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single" w:sz="12" w:space="0" w:color="808080"/>
              <w:bottom w:val="nil"/>
            </w:tcBorders>
            <w:shd w:val="clear" w:color="auto" w:fill="auto"/>
            <w:vAlign w:val="center"/>
          </w:tcPr>
          <w:p w14:paraId="7E1D308F" w14:textId="36E21DE2" w:rsidR="00BA4995" w:rsidRPr="00926D1C" w:rsidRDefault="00BA4995" w:rsidP="00DD7187">
            <w:pPr>
              <w:spacing w:after="0" w:line="240" w:lineRule="auto"/>
              <w:ind w:left="-60" w:hanging="201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(3 234 091)</w:t>
            </w:r>
          </w:p>
        </w:tc>
        <w:tc>
          <w:tcPr>
            <w:tcW w:w="1118" w:type="dxa"/>
            <w:tcBorders>
              <w:top w:val="single" w:sz="12" w:space="0" w:color="808080"/>
              <w:bottom w:val="nil"/>
            </w:tcBorders>
            <w:shd w:val="clear" w:color="auto" w:fill="auto"/>
            <w:noWrap/>
            <w:vAlign w:val="bottom"/>
          </w:tcPr>
          <w:p w14:paraId="40DCCF3E" w14:textId="12EF1E9E" w:rsidR="00BA4995" w:rsidRPr="00926D1C" w:rsidDel="00A22DCE" w:rsidRDefault="00BA4995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2 733 447</w:t>
            </w:r>
          </w:p>
        </w:tc>
      </w:tr>
      <w:tr w:rsidR="00926D1C" w:rsidRPr="00926D1C" w14:paraId="34CEC41A" w14:textId="77777777" w:rsidTr="00943D47">
        <w:trPr>
          <w:trHeight w:val="32"/>
        </w:trPr>
        <w:tc>
          <w:tcPr>
            <w:tcW w:w="6051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noWrap/>
            <w:vAlign w:val="bottom"/>
          </w:tcPr>
          <w:p w14:paraId="73346698" w14:textId="60CDD78F" w:rsidR="00926D1C" w:rsidRPr="00926D1C" w:rsidRDefault="00943D47" w:rsidP="00DD7187">
            <w:pPr>
              <w:spacing w:after="0" w:line="240" w:lineRule="auto"/>
              <w:ind w:left="179" w:right="-120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 xml:space="preserve">От деятельности </w:t>
            </w:r>
            <w:r w:rsidR="001F3C55" w:rsidRPr="001F3C55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 xml:space="preserve">дочерней </w:t>
            </w:r>
            <w:r w:rsidR="0015715A" w:rsidRPr="00926D1C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компании</w:t>
            </w:r>
          </w:p>
        </w:tc>
        <w:tc>
          <w:tcPr>
            <w:tcW w:w="1414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3C50C370" w14:textId="3098DC3A" w:rsidR="00926D1C" w:rsidRPr="00926D1C" w:rsidRDefault="00943D47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1 713</w:t>
            </w:r>
          </w:p>
        </w:tc>
        <w:tc>
          <w:tcPr>
            <w:tcW w:w="1124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vAlign w:val="bottom"/>
          </w:tcPr>
          <w:p w14:paraId="01668106" w14:textId="3D8DF90B" w:rsidR="00926D1C" w:rsidRPr="00926D1C" w:rsidRDefault="00943D47" w:rsidP="00DD7187">
            <w:pPr>
              <w:spacing w:after="0" w:line="240" w:lineRule="auto"/>
              <w:ind w:left="-60" w:hanging="105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</w:pPr>
            <w:r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2 305</w:t>
            </w:r>
          </w:p>
        </w:tc>
        <w:tc>
          <w:tcPr>
            <w:tcW w:w="240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vAlign w:val="bottom"/>
          </w:tcPr>
          <w:p w14:paraId="547074C8" w14:textId="77777777" w:rsidR="00926D1C" w:rsidRPr="00926D1C" w:rsidRDefault="00926D1C" w:rsidP="00DD7187">
            <w:pPr>
              <w:spacing w:after="0" w:line="240" w:lineRule="auto"/>
              <w:ind w:left="-60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38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93CFFEF" w14:textId="0A97F297" w:rsidR="00926D1C" w:rsidRPr="00926D1C" w:rsidRDefault="00943D47" w:rsidP="00DD7187">
            <w:pPr>
              <w:spacing w:after="0" w:line="240" w:lineRule="auto"/>
              <w:ind w:left="-60" w:hanging="201"/>
              <w:jc w:val="right"/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-</w:t>
            </w:r>
          </w:p>
        </w:tc>
        <w:tc>
          <w:tcPr>
            <w:tcW w:w="1118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noWrap/>
            <w:vAlign w:val="bottom"/>
          </w:tcPr>
          <w:p w14:paraId="343372FB" w14:textId="02424B4C" w:rsidR="00926D1C" w:rsidRPr="00926D1C" w:rsidRDefault="00943D47" w:rsidP="00DD7187">
            <w:pPr>
              <w:spacing w:after="0" w:line="240" w:lineRule="auto"/>
              <w:ind w:left="-60" w:hanging="101"/>
              <w:jc w:val="right"/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</w:pPr>
            <w:r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-</w:t>
            </w:r>
          </w:p>
        </w:tc>
      </w:tr>
    </w:tbl>
    <w:p w14:paraId="6C18836B" w14:textId="43BA2230" w:rsidR="004724B1" w:rsidRPr="00926D1C" w:rsidRDefault="00657FD1" w:rsidP="00657FD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20"/>
          <w:szCs w:val="20"/>
          <w:lang w:val="ru-RU"/>
        </w:rPr>
        <w:sectPr w:rsidR="004724B1" w:rsidRPr="00926D1C" w:rsidSect="003C6129">
          <w:type w:val="continuous"/>
          <w:pgSz w:w="11906" w:h="16838"/>
          <w:pgMar w:top="851" w:right="851" w:bottom="0" w:left="1701" w:header="426" w:footer="0" w:gutter="0"/>
          <w:cols w:space="720"/>
          <w:docGrid w:linePitch="360"/>
        </w:sectPr>
      </w:pPr>
      <w:r w:rsidRPr="00926D1C">
        <w:rPr>
          <w:rFonts w:ascii="PermianSerifTypeface" w:eastAsia="Times New Roman" w:hAnsi="PermianSerifTypeface"/>
          <w:i/>
          <w:iCs/>
          <w:sz w:val="20"/>
          <w:szCs w:val="20"/>
          <w:lang w:val="ru-RU"/>
        </w:rPr>
        <w:t>Продолжение</w:t>
      </w:r>
    </w:p>
    <w:p w14:paraId="03769776" w14:textId="38CC2558" w:rsidR="004724B1" w:rsidRDefault="004724B1" w:rsidP="004724B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20"/>
          <w:szCs w:val="20"/>
          <w:lang w:val="ru-RU"/>
        </w:rPr>
      </w:pPr>
    </w:p>
    <w:p w14:paraId="0AC1683B" w14:textId="38C848F2" w:rsidR="00943D47" w:rsidRDefault="00943D47" w:rsidP="004724B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20"/>
          <w:szCs w:val="20"/>
          <w:lang w:val="ru-RU"/>
        </w:rPr>
      </w:pPr>
    </w:p>
    <w:p w14:paraId="76A33784" w14:textId="77777777" w:rsidR="00943D47" w:rsidRPr="00926D1C" w:rsidRDefault="00943D47" w:rsidP="004724B1">
      <w:pPr>
        <w:spacing w:after="0" w:line="240" w:lineRule="auto"/>
        <w:jc w:val="center"/>
        <w:rPr>
          <w:rFonts w:ascii="PermianSerifTypeface" w:eastAsia="Times New Roman" w:hAnsi="PermianSerifTypeface"/>
          <w:i/>
          <w:iCs/>
          <w:sz w:val="20"/>
          <w:szCs w:val="20"/>
          <w:lang w:val="ru-RU"/>
        </w:rPr>
      </w:pPr>
    </w:p>
    <w:tbl>
      <w:tblPr>
        <w:tblpPr w:leftFromText="180" w:rightFromText="180" w:vertAnchor="text" w:horzAnchor="margin" w:tblpX="-885" w:tblpY="99"/>
        <w:tblW w:w="11259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594"/>
        <w:gridCol w:w="144"/>
        <w:gridCol w:w="1404"/>
        <w:gridCol w:w="1165"/>
        <w:gridCol w:w="196"/>
        <w:gridCol w:w="49"/>
        <w:gridCol w:w="187"/>
        <w:gridCol w:w="9"/>
        <w:gridCol w:w="970"/>
        <w:gridCol w:w="224"/>
        <w:gridCol w:w="787"/>
        <w:gridCol w:w="423"/>
        <w:gridCol w:w="107"/>
      </w:tblGrid>
      <w:tr w:rsidR="00657FD1" w:rsidRPr="00926D1C" w14:paraId="2642E049" w14:textId="77777777" w:rsidTr="00943D47">
        <w:trPr>
          <w:trHeight w:val="99"/>
        </w:trPr>
        <w:tc>
          <w:tcPr>
            <w:tcW w:w="5740" w:type="dxa"/>
            <w:gridSpan w:val="2"/>
            <w:shd w:val="clear" w:color="auto" w:fill="auto"/>
            <w:noWrap/>
          </w:tcPr>
          <w:p w14:paraId="779D3972" w14:textId="77777777" w:rsidR="00657FD1" w:rsidRPr="00926D1C" w:rsidRDefault="00657FD1" w:rsidP="00EE12DA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  <w:br w:type="page"/>
            </w:r>
          </w:p>
        </w:tc>
        <w:tc>
          <w:tcPr>
            <w:tcW w:w="2765" w:type="dxa"/>
            <w:gridSpan w:val="3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65B1B15D" w14:textId="6A4433A5" w:rsidR="00657FD1" w:rsidRPr="00926D1C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КОНСОЛИДИРОВАННЫЙ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CEE2CCD" w14:textId="77777777" w:rsidR="00657FD1" w:rsidRPr="00926D1C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518" w:type="dxa"/>
            <w:gridSpan w:val="6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0839A385" w14:textId="78B79D4E" w:rsidR="00657FD1" w:rsidRPr="00926D1C" w:rsidRDefault="00657FD1" w:rsidP="00EE12DA">
            <w:pPr>
              <w:spacing w:after="0" w:line="240" w:lineRule="auto"/>
              <w:ind w:left="-96"/>
              <w:jc w:val="center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БАНК</w:t>
            </w:r>
          </w:p>
        </w:tc>
      </w:tr>
      <w:tr w:rsidR="00781C60" w:rsidRPr="00926D1C" w14:paraId="5F92FEE3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EA3287C" w14:textId="77777777" w:rsidR="00781C60" w:rsidRPr="00926D1C" w:rsidRDefault="00781C60" w:rsidP="00781C60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742F4529" w14:textId="77777777" w:rsidR="00781C60" w:rsidRPr="00926D1C" w:rsidRDefault="00781C60" w:rsidP="003B6ADA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июня</w:t>
            </w:r>
          </w:p>
          <w:p w14:paraId="04550055" w14:textId="547D398B" w:rsidR="00781C60" w:rsidRPr="00926D1C" w:rsidRDefault="00781C60" w:rsidP="003B6ADA">
            <w:pPr>
              <w:spacing w:after="0" w:line="240" w:lineRule="auto"/>
              <w:ind w:left="-96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2023</w:t>
            </w:r>
          </w:p>
        </w:tc>
        <w:tc>
          <w:tcPr>
            <w:tcW w:w="1361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47656258" w14:textId="77777777" w:rsidR="00781C60" w:rsidRPr="00926D1C" w:rsidRDefault="00781C60" w:rsidP="003B6ADA">
            <w:pPr>
              <w:contextualSpacing/>
              <w:jc w:val="right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 июня</w:t>
            </w:r>
          </w:p>
          <w:p w14:paraId="4BFA63EB" w14:textId="177AA54F" w:rsidR="00781C60" w:rsidRPr="00926D1C" w:rsidRDefault="00781C60" w:rsidP="003B6ADA">
            <w:pPr>
              <w:spacing w:after="0" w:line="240" w:lineRule="auto"/>
              <w:ind w:left="-96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2022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5FD7FA32" w14:textId="77777777" w:rsidR="00781C60" w:rsidRPr="00926D1C" w:rsidRDefault="00781C60" w:rsidP="003B6ADA">
            <w:pPr>
              <w:spacing w:after="0" w:line="240" w:lineRule="auto"/>
              <w:ind w:left="-96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bottom"/>
          </w:tcPr>
          <w:p w14:paraId="480F3AB3" w14:textId="77777777" w:rsidR="00781C60" w:rsidRPr="00926D1C" w:rsidRDefault="00781C60" w:rsidP="003B6ADA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</w:t>
            </w:r>
            <w:r w:rsidRPr="00926D1C">
              <w:rPr>
                <w:sz w:val="20"/>
                <w:szCs w:val="20"/>
                <w:lang w:val="ru-RU"/>
              </w:rPr>
              <w:t xml:space="preserve"> </w:t>
            </w: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июня</w:t>
            </w:r>
          </w:p>
          <w:p w14:paraId="7BA64978" w14:textId="0B4BC098" w:rsidR="00781C60" w:rsidRPr="00926D1C" w:rsidRDefault="00781C60" w:rsidP="003B6ADA">
            <w:pPr>
              <w:spacing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2023</w:t>
            </w:r>
          </w:p>
        </w:tc>
        <w:tc>
          <w:tcPr>
            <w:tcW w:w="1210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462CD2AA" w14:textId="77777777" w:rsidR="00781C60" w:rsidRPr="00926D1C" w:rsidRDefault="00781C60" w:rsidP="003B6ADA">
            <w:pPr>
              <w:contextualSpacing/>
              <w:jc w:val="right"/>
              <w:rPr>
                <w:rFonts w:ascii="PermianSerifTypeface" w:hAnsi="PermianSerifTypeface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30 июня</w:t>
            </w:r>
          </w:p>
          <w:p w14:paraId="355D83B8" w14:textId="409A9A9A" w:rsidR="00781C60" w:rsidRPr="00926D1C" w:rsidRDefault="00781C60" w:rsidP="003B6ADA">
            <w:pPr>
              <w:spacing w:after="0" w:line="240" w:lineRule="auto"/>
              <w:ind w:left="41" w:hanging="4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2022</w:t>
            </w:r>
          </w:p>
        </w:tc>
      </w:tr>
      <w:tr w:rsidR="00657FD1" w:rsidRPr="00926D1C" w14:paraId="68283D1D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25492A86" w14:textId="77777777" w:rsidR="00657FD1" w:rsidRPr="00926D1C" w:rsidRDefault="00657FD1" w:rsidP="00EE12DA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02F12B47" w14:textId="5EA0B42B" w:rsidR="00657FD1" w:rsidRPr="00926D1C" w:rsidRDefault="00657FD1" w:rsidP="00DC1476">
            <w:pPr>
              <w:spacing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361" w:type="dxa"/>
            <w:gridSpan w:val="2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7915F90A" w14:textId="0C59A7C6" w:rsidR="00657FD1" w:rsidRPr="00926D1C" w:rsidRDefault="00657FD1" w:rsidP="00DC1476">
            <w:pPr>
              <w:spacing w:after="0" w:line="240" w:lineRule="auto"/>
              <w:ind w:left="-96" w:right="-113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AFFE1F4" w14:textId="77777777" w:rsidR="00657FD1" w:rsidRPr="00926D1C" w:rsidRDefault="00657FD1" w:rsidP="00DC1476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center"/>
          </w:tcPr>
          <w:p w14:paraId="258C3F02" w14:textId="00CD3948" w:rsidR="00657FD1" w:rsidRPr="00926D1C" w:rsidRDefault="00657FD1" w:rsidP="00DC1476">
            <w:pPr>
              <w:spacing w:after="0" w:line="240" w:lineRule="auto"/>
              <w:ind w:left="-96" w:right="3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  <w:tc>
          <w:tcPr>
            <w:tcW w:w="1210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noWrap/>
            <w:vAlign w:val="center"/>
          </w:tcPr>
          <w:p w14:paraId="105A02C0" w14:textId="19A06BF8" w:rsidR="00657FD1" w:rsidRPr="00926D1C" w:rsidRDefault="00657FD1" w:rsidP="00DC1476">
            <w:pPr>
              <w:spacing w:after="0" w:line="240" w:lineRule="auto"/>
              <w:ind w:left="41" w:hanging="4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ТЫСЯЧА ЛЕЕВ</w:t>
            </w:r>
          </w:p>
        </w:tc>
      </w:tr>
      <w:tr w:rsidR="00657FD1" w:rsidRPr="00926D1C" w14:paraId="26916D73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tcBorders>
              <w:top w:val="nil"/>
            </w:tcBorders>
            <w:shd w:val="clear" w:color="auto" w:fill="auto"/>
            <w:noWrap/>
          </w:tcPr>
          <w:p w14:paraId="6ABD78AB" w14:textId="606A8107" w:rsidR="00657FD1" w:rsidRPr="00926D1C" w:rsidRDefault="00657FD1" w:rsidP="00EE12DA">
            <w:pPr>
              <w:spacing w:after="0" w:line="240" w:lineRule="auto"/>
              <w:ind w:left="36" w:right="-120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Прочий совокупный доход</w:t>
            </w:r>
          </w:p>
        </w:tc>
        <w:tc>
          <w:tcPr>
            <w:tcW w:w="1404" w:type="dxa"/>
            <w:shd w:val="clear" w:color="auto" w:fill="auto"/>
          </w:tcPr>
          <w:p w14:paraId="01CB30FC" w14:textId="77777777" w:rsidR="00657FD1" w:rsidRPr="00926D1C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14:paraId="6B22E67F" w14:textId="77777777" w:rsidR="00657FD1" w:rsidRPr="00926D1C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4F183C3" w14:textId="77777777" w:rsidR="00657FD1" w:rsidRPr="00926D1C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3058905B" w14:textId="77777777" w:rsidR="00657FD1" w:rsidRPr="00926D1C" w:rsidRDefault="00657FD1" w:rsidP="00EE12DA">
            <w:pPr>
              <w:spacing w:after="0" w:line="240" w:lineRule="auto"/>
              <w:ind w:left="-96" w:right="-300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50A6B598" w14:textId="77777777" w:rsidR="00657FD1" w:rsidRPr="00926D1C" w:rsidRDefault="00657FD1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</w:tr>
      <w:tr w:rsidR="00657FD1" w:rsidRPr="00D436B3" w14:paraId="60EE85F2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shd w:val="clear" w:color="auto" w:fill="auto"/>
            <w:noWrap/>
          </w:tcPr>
          <w:p w14:paraId="34209777" w14:textId="7C7BA2F0" w:rsidR="00657FD1" w:rsidRPr="008753E7" w:rsidRDefault="00657FD1" w:rsidP="00363E23">
            <w:pPr>
              <w:spacing w:before="60" w:after="0" w:line="240" w:lineRule="auto"/>
              <w:ind w:left="36" w:right="-120"/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 xml:space="preserve">Статьи, которые </w:t>
            </w:r>
            <w:r w:rsidR="00363E23"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 xml:space="preserve">впоследствии </w:t>
            </w:r>
            <w:r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>могут быть р</w:t>
            </w:r>
            <w:r w:rsidR="00363E23"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>е</w:t>
            </w:r>
            <w:r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>классифицированы в состав прибыл</w:t>
            </w:r>
            <w:r w:rsidR="003E2547"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>и</w:t>
            </w:r>
            <w:r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 xml:space="preserve"> или убыт</w:t>
            </w:r>
            <w:r w:rsidR="00D436B3"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>к</w:t>
            </w:r>
            <w:r w:rsidR="003E2547" w:rsidRPr="008753E7">
              <w:rPr>
                <w:rFonts w:ascii="PermianSerifTypeface" w:eastAsia="Times New Roman" w:hAnsi="PermianSerifTypeface"/>
                <w:bCs/>
                <w:i/>
                <w:sz w:val="20"/>
                <w:szCs w:val="20"/>
                <w:lang w:val="ru-RU"/>
              </w:rPr>
              <w:t>а</w:t>
            </w:r>
          </w:p>
        </w:tc>
        <w:tc>
          <w:tcPr>
            <w:tcW w:w="1404" w:type="dxa"/>
            <w:shd w:val="clear" w:color="auto" w:fill="auto"/>
          </w:tcPr>
          <w:p w14:paraId="615F7D08" w14:textId="77777777" w:rsidR="00657FD1" w:rsidRPr="00926D1C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gridSpan w:val="2"/>
            <w:shd w:val="clear" w:color="auto" w:fill="auto"/>
          </w:tcPr>
          <w:p w14:paraId="274C7CB7" w14:textId="77777777" w:rsidR="00657FD1" w:rsidRPr="00926D1C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3C594608" w14:textId="77777777" w:rsidR="00657FD1" w:rsidRPr="00926D1C" w:rsidDel="00204EC3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47E07AAC" w14:textId="77777777" w:rsidR="00657FD1" w:rsidRPr="00926D1C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gridSpan w:val="2"/>
            <w:shd w:val="clear" w:color="auto" w:fill="auto"/>
            <w:noWrap/>
            <w:vAlign w:val="center"/>
          </w:tcPr>
          <w:p w14:paraId="09CEE331" w14:textId="77777777" w:rsidR="00657FD1" w:rsidRPr="00926D1C" w:rsidRDefault="00657FD1" w:rsidP="00EE12DA">
            <w:pPr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810A9E" w:rsidRPr="00926D1C" w14:paraId="4834DF76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shd w:val="clear" w:color="auto" w:fill="auto"/>
            <w:noWrap/>
          </w:tcPr>
          <w:p w14:paraId="39958921" w14:textId="0A6F25C5" w:rsidR="00810A9E" w:rsidRPr="008753E7" w:rsidRDefault="00810A9E" w:rsidP="00810A9E">
            <w:pPr>
              <w:spacing w:before="60" w:after="0" w:line="240" w:lineRule="auto"/>
              <w:ind w:left="36" w:right="-120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Разницы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8BA8643" w14:textId="177B29B4" w:rsidR="00810A9E" w:rsidRPr="00926D1C" w:rsidRDefault="00810A9E" w:rsidP="00810A9E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(245 664)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6BD98EC" w14:textId="540B95CC" w:rsidR="00810A9E" w:rsidRPr="00926D1C" w:rsidRDefault="00810A9E" w:rsidP="00810A9E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(185 597)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2A074BF" w14:textId="77777777" w:rsidR="00810A9E" w:rsidRPr="00926D1C" w:rsidRDefault="00810A9E" w:rsidP="00810A9E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30AB8327" w14:textId="21FA8C0E" w:rsidR="00810A9E" w:rsidRPr="00926D1C" w:rsidRDefault="00810A9E" w:rsidP="00810A9E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(245 664)</w:t>
            </w:r>
          </w:p>
        </w:tc>
        <w:tc>
          <w:tcPr>
            <w:tcW w:w="1210" w:type="dxa"/>
            <w:gridSpan w:val="2"/>
            <w:shd w:val="clear" w:color="auto" w:fill="auto"/>
            <w:noWrap/>
            <w:vAlign w:val="center"/>
          </w:tcPr>
          <w:p w14:paraId="3ED338BF" w14:textId="3D79A700" w:rsidR="00810A9E" w:rsidRPr="00926D1C" w:rsidRDefault="00810A9E" w:rsidP="00810A9E">
            <w:pPr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(185 597)</w:t>
            </w:r>
          </w:p>
        </w:tc>
      </w:tr>
      <w:tr w:rsidR="00810A9E" w:rsidRPr="00926D1C" w14:paraId="2F78948E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shd w:val="clear" w:color="auto" w:fill="auto"/>
            <w:noWrap/>
          </w:tcPr>
          <w:p w14:paraId="2F6D972C" w14:textId="1B951576" w:rsidR="00810A9E" w:rsidRPr="008753E7" w:rsidRDefault="00810A9E" w:rsidP="00810A9E">
            <w:pPr>
              <w:spacing w:before="60" w:after="0" w:line="240" w:lineRule="auto"/>
              <w:ind w:left="36"/>
              <w:rPr>
                <w:rFonts w:ascii="PermianSerifTypeface" w:eastAsia="Times New Roman" w:hAnsi="PermianSerifTypeface"/>
                <w:bCs/>
                <w:color w:val="FF0000"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Cs/>
                <w:color w:val="000000"/>
                <w:sz w:val="20"/>
                <w:szCs w:val="20"/>
                <w:lang w:val="ru-RU"/>
              </w:rPr>
              <w:t>Курсовые разницы в иностранной валюте от переоценки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A4D3CA4" w14:textId="05F0F15E" w:rsidR="00810A9E" w:rsidRPr="00926D1C" w:rsidRDefault="00810A9E" w:rsidP="00810A9E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1 148 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01C2843" w14:textId="46F89F02" w:rsidR="00810A9E" w:rsidRPr="00926D1C" w:rsidRDefault="00810A9E" w:rsidP="00810A9E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(7 089)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73414D28" w14:textId="77777777" w:rsidR="00810A9E" w:rsidRPr="00926D1C" w:rsidRDefault="00810A9E" w:rsidP="00810A9E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B39E7ED" w14:textId="47E08B79" w:rsidR="00810A9E" w:rsidRPr="00926D1C" w:rsidRDefault="00810A9E" w:rsidP="00810A9E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1 148 </w:t>
            </w:r>
          </w:p>
        </w:tc>
        <w:tc>
          <w:tcPr>
            <w:tcW w:w="121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67833441" w14:textId="77CECA78" w:rsidR="00810A9E" w:rsidRPr="00926D1C" w:rsidRDefault="00810A9E" w:rsidP="00810A9E">
            <w:pPr>
              <w:tabs>
                <w:tab w:val="right" w:pos="1861"/>
              </w:tabs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(7 089)</w:t>
            </w:r>
          </w:p>
        </w:tc>
      </w:tr>
      <w:tr w:rsidR="00810A9E" w:rsidRPr="00926D1C" w14:paraId="746E6328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FE7D77D" w14:textId="5E626214" w:rsidR="00810A9E" w:rsidRPr="008753E7" w:rsidRDefault="007030C9" w:rsidP="0008482E">
            <w:pPr>
              <w:spacing w:before="60" w:after="0" w:line="240" w:lineRule="auto"/>
              <w:ind w:left="36"/>
              <w:rPr>
                <w:rFonts w:ascii="PermianSerifTypeface" w:eastAsia="Times New Roman" w:hAnsi="PermianSerifTypeface"/>
                <w:bCs/>
                <w:color w:val="000000"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Cs/>
                <w:color w:val="000000"/>
                <w:sz w:val="20"/>
                <w:szCs w:val="20"/>
                <w:lang w:val="ru-RU"/>
              </w:rPr>
              <w:t>Разницы от обесценени</w:t>
            </w:r>
            <w:r w:rsidR="0008482E" w:rsidRPr="008753E7">
              <w:rPr>
                <w:rFonts w:ascii="PermianSerifTypeface" w:eastAsia="Times New Roman" w:hAnsi="PermianSerifTypeface"/>
                <w:bCs/>
                <w:color w:val="000000"/>
                <w:sz w:val="20"/>
                <w:szCs w:val="20"/>
                <w:lang w:val="ru-RU"/>
              </w:rPr>
              <w:t>я</w:t>
            </w:r>
            <w:r w:rsidRPr="008753E7">
              <w:rPr>
                <w:rFonts w:ascii="PermianSerifTypeface" w:eastAsia="Times New Roman" w:hAnsi="PermianSerifTypeface"/>
                <w:bCs/>
                <w:color w:val="000000"/>
                <w:sz w:val="20"/>
                <w:szCs w:val="20"/>
                <w:lang w:val="ru-RU"/>
              </w:rPr>
              <w:t xml:space="preserve"> ценных бумаг в иностранной валюте, оцененных по справедливой стоимости через прочие элементы совокупного дохода</w:t>
            </w:r>
          </w:p>
        </w:tc>
        <w:tc>
          <w:tcPr>
            <w:tcW w:w="1404" w:type="dxa"/>
            <w:tcBorders>
              <w:bottom w:val="nil"/>
            </w:tcBorders>
            <w:shd w:val="clear" w:color="auto" w:fill="auto"/>
            <w:vAlign w:val="center"/>
          </w:tcPr>
          <w:p w14:paraId="3C42B053" w14:textId="022FE139" w:rsidR="00810A9E" w:rsidRPr="00926D1C" w:rsidRDefault="00810A9E" w:rsidP="00810A9E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1 775 </w:t>
            </w:r>
          </w:p>
        </w:tc>
        <w:tc>
          <w:tcPr>
            <w:tcW w:w="136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57338CA" w14:textId="05D70CBB" w:rsidR="00810A9E" w:rsidRPr="00926D1C" w:rsidRDefault="00810A9E" w:rsidP="00810A9E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288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0569905" w14:textId="77777777" w:rsidR="00810A9E" w:rsidRPr="00926D1C" w:rsidRDefault="00810A9E" w:rsidP="00810A9E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538FD0D" w14:textId="51F5421E" w:rsidR="00810A9E" w:rsidRPr="00926D1C" w:rsidRDefault="00810A9E" w:rsidP="00810A9E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1 775 </w:t>
            </w:r>
          </w:p>
        </w:tc>
        <w:tc>
          <w:tcPr>
            <w:tcW w:w="121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5650CA51" w14:textId="2D92F5A4" w:rsidR="00810A9E" w:rsidRPr="00926D1C" w:rsidRDefault="00810A9E" w:rsidP="00810A9E">
            <w:pPr>
              <w:tabs>
                <w:tab w:val="right" w:pos="1861"/>
              </w:tabs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288</w:t>
            </w:r>
          </w:p>
        </w:tc>
      </w:tr>
      <w:tr w:rsidR="00657FD1" w:rsidRPr="00926D1C" w14:paraId="4C5F9FDF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49DEFEA6" w14:textId="77777777" w:rsidR="00657FD1" w:rsidRPr="008753E7" w:rsidRDefault="00657FD1" w:rsidP="00EE12DA">
            <w:pPr>
              <w:spacing w:before="60" w:after="0" w:line="240" w:lineRule="auto"/>
              <w:ind w:left="36"/>
              <w:rPr>
                <w:rFonts w:ascii="PermianSerifTypeface" w:eastAsia="Times New Roman" w:hAnsi="PermianSerifTypeface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tcBorders>
              <w:bottom w:val="single" w:sz="12" w:space="0" w:color="808080"/>
            </w:tcBorders>
            <w:shd w:val="clear" w:color="auto" w:fill="auto"/>
          </w:tcPr>
          <w:p w14:paraId="0ADC0FBB" w14:textId="77777777" w:rsidR="00657FD1" w:rsidRPr="00926D1C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gridSpan w:val="2"/>
            <w:tcBorders>
              <w:bottom w:val="single" w:sz="12" w:space="0" w:color="808080"/>
            </w:tcBorders>
            <w:shd w:val="clear" w:color="auto" w:fill="auto"/>
          </w:tcPr>
          <w:p w14:paraId="37544237" w14:textId="77777777" w:rsidR="00657FD1" w:rsidRPr="00926D1C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</w:tcPr>
          <w:p w14:paraId="367D042F" w14:textId="77777777" w:rsidR="00657FD1" w:rsidRPr="00926D1C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bottom w:val="single" w:sz="12" w:space="0" w:color="808080"/>
            </w:tcBorders>
            <w:shd w:val="clear" w:color="auto" w:fill="auto"/>
            <w:vAlign w:val="center"/>
          </w:tcPr>
          <w:p w14:paraId="75164E7F" w14:textId="77777777" w:rsidR="00657FD1" w:rsidRPr="00926D1C" w:rsidRDefault="00657FD1" w:rsidP="00EE12DA">
            <w:pPr>
              <w:spacing w:before="60" w:after="0" w:line="240" w:lineRule="auto"/>
              <w:ind w:left="-96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gridSpan w:val="2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73CE4CA7" w14:textId="77777777" w:rsidR="00657FD1" w:rsidRPr="00926D1C" w:rsidRDefault="00657FD1" w:rsidP="00EE12DA">
            <w:pPr>
              <w:tabs>
                <w:tab w:val="right" w:pos="1861"/>
              </w:tabs>
              <w:spacing w:before="60"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3850B4" w:rsidRPr="00926D1C" w14:paraId="082D15EF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shd w:val="clear" w:color="auto" w:fill="auto"/>
            <w:noWrap/>
          </w:tcPr>
          <w:p w14:paraId="0B851BEF" w14:textId="0097A7FC" w:rsidR="003850B4" w:rsidRPr="008753E7" w:rsidRDefault="003850B4" w:rsidP="003850B4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 xml:space="preserve">ВСЕГО СОВОКУПНЫЙ РЕЗУЛЬТАТ </w:t>
            </w:r>
            <w:r w:rsidR="001F3C55" w:rsidRPr="0084497E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ЗА</w:t>
            </w:r>
            <w:r w:rsidR="001F3C55" w:rsidRPr="008753E7">
              <w:rPr>
                <w:rFonts w:ascii="PermianSerifTypeface" w:hAnsi="PermianSerifTypeface"/>
                <w:b/>
              </w:rPr>
              <w:t xml:space="preserve"> </w:t>
            </w:r>
            <w:r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ПЕРИОД</w:t>
            </w:r>
          </w:p>
        </w:tc>
        <w:tc>
          <w:tcPr>
            <w:tcW w:w="140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0C8D6536" w14:textId="361B9C18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(3 475 119)</w:t>
            </w:r>
          </w:p>
        </w:tc>
        <w:tc>
          <w:tcPr>
            <w:tcW w:w="1361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277083BD" w14:textId="20D8DD08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2 543 354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227AA934" w14:textId="77777777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56B9E490" w14:textId="4A35D7B1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(3 476 832)</w:t>
            </w:r>
          </w:p>
        </w:tc>
        <w:tc>
          <w:tcPr>
            <w:tcW w:w="1210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34825CC1" w14:textId="3F0DF553" w:rsidR="003850B4" w:rsidRPr="00926D1C" w:rsidRDefault="003850B4" w:rsidP="003850B4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2 541 049</w:t>
            </w:r>
          </w:p>
        </w:tc>
      </w:tr>
      <w:tr w:rsidR="003850B4" w:rsidRPr="00926D1C" w14:paraId="5D28F12E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shd w:val="clear" w:color="auto" w:fill="auto"/>
            <w:noWrap/>
          </w:tcPr>
          <w:p w14:paraId="44AF1FAE" w14:textId="4AA0D977" w:rsidR="003850B4" w:rsidRPr="008753E7" w:rsidRDefault="007B34C2" w:rsidP="003850B4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Относимый</w:t>
            </w:r>
            <w:r w:rsidR="008753E7"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 xml:space="preserve"> </w:t>
            </w:r>
            <w:r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к Банку</w:t>
            </w:r>
            <w:r w:rsidRPr="008753E7" w:rsidDel="0015715A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04" w:type="dxa"/>
            <w:tcBorders>
              <w:top w:val="single" w:sz="12" w:space="0" w:color="808080"/>
            </w:tcBorders>
            <w:shd w:val="clear" w:color="auto" w:fill="auto"/>
            <w:vAlign w:val="bottom"/>
          </w:tcPr>
          <w:p w14:paraId="0D5F3659" w14:textId="510B8D0E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(3 475 148)</w:t>
            </w:r>
          </w:p>
        </w:tc>
        <w:tc>
          <w:tcPr>
            <w:tcW w:w="1361" w:type="dxa"/>
            <w:gridSpan w:val="2"/>
            <w:tcBorders>
              <w:top w:val="single" w:sz="12" w:space="0" w:color="808080"/>
            </w:tcBorders>
            <w:shd w:val="clear" w:color="auto" w:fill="auto"/>
            <w:vAlign w:val="bottom"/>
          </w:tcPr>
          <w:p w14:paraId="18B4A989" w14:textId="038F9674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2 543 316</w:t>
            </w:r>
          </w:p>
        </w:tc>
        <w:tc>
          <w:tcPr>
            <w:tcW w:w="245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65D89EE5" w14:textId="77777777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4254A4E3" w14:textId="25E12C98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(3 476 832)</w:t>
            </w:r>
          </w:p>
        </w:tc>
        <w:tc>
          <w:tcPr>
            <w:tcW w:w="1210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noWrap/>
            <w:vAlign w:val="bottom"/>
          </w:tcPr>
          <w:p w14:paraId="44466F4F" w14:textId="0F2E45A2" w:rsidR="003850B4" w:rsidRPr="00926D1C" w:rsidRDefault="003850B4" w:rsidP="003850B4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2 541 049</w:t>
            </w:r>
          </w:p>
        </w:tc>
      </w:tr>
      <w:tr w:rsidR="003850B4" w:rsidRPr="00926D1C" w14:paraId="0BF44339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tcBorders>
              <w:bottom w:val="single" w:sz="12" w:space="0" w:color="808080"/>
            </w:tcBorders>
            <w:shd w:val="clear" w:color="auto" w:fill="auto"/>
            <w:noWrap/>
          </w:tcPr>
          <w:p w14:paraId="06B9567E" w14:textId="17C38E0A" w:rsidR="003850B4" w:rsidRPr="008753E7" w:rsidRDefault="007B34C2" w:rsidP="0015715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Относимый к неконтролирующим долям участия</w:t>
            </w:r>
            <w:r w:rsidRPr="008753E7" w:rsidDel="0015715A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04" w:type="dxa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0F37DF04" w14:textId="071122DA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 29 </w:t>
            </w:r>
          </w:p>
        </w:tc>
        <w:tc>
          <w:tcPr>
            <w:tcW w:w="1361" w:type="dxa"/>
            <w:gridSpan w:val="2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6D735B9D" w14:textId="4603FD17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38</w:t>
            </w:r>
          </w:p>
        </w:tc>
        <w:tc>
          <w:tcPr>
            <w:tcW w:w="245" w:type="dxa"/>
            <w:gridSpan w:val="3"/>
            <w:tcBorders>
              <w:bottom w:val="single" w:sz="12" w:space="0" w:color="808080"/>
            </w:tcBorders>
            <w:shd w:val="clear" w:color="auto" w:fill="auto"/>
            <w:vAlign w:val="bottom"/>
          </w:tcPr>
          <w:p w14:paraId="7D8E9AF4" w14:textId="77777777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vAlign w:val="bottom"/>
          </w:tcPr>
          <w:p w14:paraId="62DB8BD5" w14:textId="07A5E2B0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-</w:t>
            </w:r>
          </w:p>
        </w:tc>
        <w:tc>
          <w:tcPr>
            <w:tcW w:w="1210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1B905AB3" w14:textId="5B251998" w:rsidR="003850B4" w:rsidRPr="00926D1C" w:rsidRDefault="003850B4" w:rsidP="003850B4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-</w:t>
            </w:r>
          </w:p>
        </w:tc>
      </w:tr>
      <w:tr w:rsidR="00657FD1" w:rsidRPr="00926D1C" w14:paraId="09AA36FF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noWrap/>
          </w:tcPr>
          <w:p w14:paraId="34C38C0B" w14:textId="77777777" w:rsidR="00657FD1" w:rsidRPr="008753E7" w:rsidRDefault="00657FD1" w:rsidP="00EE12D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4CE04D86" w14:textId="77777777" w:rsidR="00657FD1" w:rsidRPr="00926D1C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540AEB1D" w14:textId="77777777" w:rsidR="00657FD1" w:rsidRPr="00926D1C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3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41EAA4C8" w14:textId="77777777" w:rsidR="00657FD1" w:rsidRPr="00926D1C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61C0600D" w14:textId="77777777" w:rsidR="00657FD1" w:rsidRPr="00926D1C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noWrap/>
            <w:vAlign w:val="bottom"/>
          </w:tcPr>
          <w:p w14:paraId="2C31B2EF" w14:textId="77777777" w:rsidR="00657FD1" w:rsidRPr="00926D1C" w:rsidRDefault="00657FD1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7030C9" w:rsidRPr="00D436B3" w14:paraId="27CA17CE" w14:textId="77777777" w:rsidTr="00943D47">
        <w:trPr>
          <w:gridAfter w:val="1"/>
          <w:wAfter w:w="107" w:type="dxa"/>
          <w:trHeight w:val="99"/>
        </w:trPr>
        <w:tc>
          <w:tcPr>
            <w:tcW w:w="11152" w:type="dxa"/>
            <w:gridSpan w:val="12"/>
            <w:tcBorders>
              <w:top w:val="nil"/>
              <w:bottom w:val="nil"/>
            </w:tcBorders>
            <w:shd w:val="clear" w:color="auto" w:fill="auto"/>
            <w:noWrap/>
          </w:tcPr>
          <w:p w14:paraId="12782FAF" w14:textId="442CC703" w:rsidR="007030C9" w:rsidRPr="008753E7" w:rsidRDefault="007030C9" w:rsidP="007030C9">
            <w:pPr>
              <w:spacing w:after="0" w:line="240" w:lineRule="auto"/>
              <w:ind w:left="41" w:hanging="142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8753E7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 xml:space="preserve">ОПРЕДЕЛЕНИЕ </w:t>
            </w:r>
            <w:r w:rsidRPr="008753E7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(</w:t>
            </w:r>
            <w:r w:rsidRPr="008753E7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ОБЩЕГО УБЫТКА</w:t>
            </w:r>
            <w:r w:rsidRPr="008753E7">
              <w:rPr>
                <w:rFonts w:ascii="PermianSerifTypeface" w:hAnsi="PermianSerifTypeface"/>
                <w:b/>
                <w:bCs/>
                <w:sz w:val="20"/>
                <w:szCs w:val="20"/>
                <w:lang w:val="ro-MD"/>
              </w:rPr>
              <w:t>)</w:t>
            </w:r>
            <w:r w:rsidRPr="008753E7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 xml:space="preserve"> /ПРИБЫЛ</w:t>
            </w:r>
            <w:r w:rsidR="003E2547" w:rsidRPr="008753E7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И</w:t>
            </w:r>
            <w:r w:rsidRPr="008753E7">
              <w:rPr>
                <w:rFonts w:ascii="PermianSerifTypeface" w:hAnsi="PermianSerifTypeface"/>
                <w:b/>
                <w:bCs/>
                <w:sz w:val="20"/>
                <w:szCs w:val="20"/>
                <w:lang w:val="ru-RU"/>
              </w:rPr>
              <w:t>, ПОДЛЕЖАЩАЯ РАСПРЕДЕЛЕНИЮ</w:t>
            </w:r>
          </w:p>
        </w:tc>
      </w:tr>
      <w:tr w:rsidR="00657FD1" w:rsidRPr="00D436B3" w14:paraId="016F521A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0EFFFB67" w14:textId="77777777" w:rsidR="00657FD1" w:rsidRPr="008753E7" w:rsidRDefault="00657FD1" w:rsidP="00EE12D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auto"/>
          </w:tcPr>
          <w:p w14:paraId="0D5C4F6D" w14:textId="77777777" w:rsidR="00657FD1" w:rsidRPr="00926D1C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95FB422" w14:textId="77777777" w:rsidR="00657FD1" w:rsidRPr="00926D1C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78E4448" w14:textId="77777777" w:rsidR="00657FD1" w:rsidRPr="00926D1C" w:rsidDel="00204EC3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DE6663" w14:textId="77777777" w:rsidR="00657FD1" w:rsidRPr="00926D1C" w:rsidRDefault="00657FD1" w:rsidP="00EE12DA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1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A0A8A7A" w14:textId="77777777" w:rsidR="00657FD1" w:rsidRPr="00926D1C" w:rsidRDefault="00657FD1" w:rsidP="00EE12DA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3850B4" w:rsidRPr="00926D1C" w14:paraId="33291ADD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26AD5297" w14:textId="1722F182" w:rsidR="003850B4" w:rsidRPr="008753E7" w:rsidRDefault="003850B4" w:rsidP="003850B4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 xml:space="preserve">ЧИСТЫЙ (АЯ) </w:t>
            </w:r>
            <w:r w:rsidR="00926D1C"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o-MD"/>
              </w:rPr>
              <w:t>(</w:t>
            </w:r>
            <w:r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УБЫТОК</w:t>
            </w:r>
            <w:r w:rsidR="00926D1C"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o-MD"/>
              </w:rPr>
              <w:t>)</w:t>
            </w:r>
            <w:r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 xml:space="preserve"> / ПРИБЫЛЬ</w:t>
            </w:r>
            <w:r w:rsidRPr="008753E7">
              <w:rPr>
                <w:sz w:val="20"/>
                <w:szCs w:val="20"/>
                <w:lang w:val="ru-RU"/>
              </w:rPr>
              <w:t xml:space="preserve"> </w:t>
            </w:r>
            <w:r w:rsidR="00926D1C"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от деятельности банка</w:t>
            </w:r>
          </w:p>
        </w:tc>
        <w:tc>
          <w:tcPr>
            <w:tcW w:w="140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462599" w14:textId="0126EC35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(3 234 091)</w:t>
            </w:r>
          </w:p>
        </w:tc>
        <w:tc>
          <w:tcPr>
            <w:tcW w:w="136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81D5382" w14:textId="39B1D8C5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2 733 447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8197A31" w14:textId="77777777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718D14" w14:textId="062B31A5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(3 234 091)</w:t>
            </w:r>
          </w:p>
        </w:tc>
        <w:tc>
          <w:tcPr>
            <w:tcW w:w="121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33E2BF4" w14:textId="501C6AFE" w:rsidR="003850B4" w:rsidRPr="00926D1C" w:rsidRDefault="003850B4" w:rsidP="003850B4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2 733 447</w:t>
            </w:r>
          </w:p>
        </w:tc>
      </w:tr>
      <w:tr w:rsidR="003850B4" w:rsidRPr="00926D1C" w14:paraId="28045FD0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4AF8676D" w14:textId="3F58ED12" w:rsidR="003850B4" w:rsidRPr="008753E7" w:rsidRDefault="00D03C52" w:rsidP="003850B4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Покрытие /</w:t>
            </w:r>
            <w:r w:rsidR="003850B4"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(</w:t>
            </w:r>
            <w:r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о</w:t>
            </w:r>
            <w:r w:rsidR="003850B4"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тчисление) нереализованных</w:t>
            </w:r>
            <w:r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 xml:space="preserve"> убытков/</w:t>
            </w:r>
            <w:r w:rsidR="003850B4"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 xml:space="preserve"> (прибыли) от курсовых разниц от переоценки валютных резервов</w:t>
            </w:r>
          </w:p>
        </w:tc>
        <w:tc>
          <w:tcPr>
            <w:tcW w:w="1404" w:type="dxa"/>
            <w:tcBorders>
              <w:top w:val="single" w:sz="8" w:space="0" w:color="808080"/>
              <w:bottom w:val="nil"/>
            </w:tcBorders>
            <w:shd w:val="clear" w:color="auto" w:fill="auto"/>
            <w:vAlign w:val="bottom"/>
          </w:tcPr>
          <w:p w14:paraId="36A4A3F4" w14:textId="0022BA21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2 713 317 </w:t>
            </w:r>
          </w:p>
        </w:tc>
        <w:tc>
          <w:tcPr>
            <w:tcW w:w="1361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bottom"/>
          </w:tcPr>
          <w:p w14:paraId="65329BEF" w14:textId="10E9C0F2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(2 749 903)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19506EC" w14:textId="77777777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vAlign w:val="bottom"/>
          </w:tcPr>
          <w:p w14:paraId="2D37898A" w14:textId="5BABFF6E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 xml:space="preserve">2 713 317 </w:t>
            </w:r>
          </w:p>
        </w:tc>
        <w:tc>
          <w:tcPr>
            <w:tcW w:w="1210" w:type="dxa"/>
            <w:gridSpan w:val="2"/>
            <w:tcBorders>
              <w:top w:val="single" w:sz="8" w:space="0" w:color="808080"/>
              <w:bottom w:val="nil"/>
            </w:tcBorders>
            <w:shd w:val="clear" w:color="auto" w:fill="auto"/>
            <w:noWrap/>
            <w:vAlign w:val="bottom"/>
          </w:tcPr>
          <w:p w14:paraId="46A44BFF" w14:textId="05F91F90" w:rsidR="003850B4" w:rsidRPr="00926D1C" w:rsidRDefault="003850B4" w:rsidP="003850B4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color w:val="000000"/>
                <w:sz w:val="20"/>
                <w:szCs w:val="20"/>
                <w:lang w:val="ro-MD"/>
              </w:rPr>
              <w:t>(2 749 903)</w:t>
            </w:r>
          </w:p>
        </w:tc>
      </w:tr>
      <w:tr w:rsidR="003850B4" w:rsidRPr="00926D1C" w14:paraId="292A99A7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4ADC70CC" w14:textId="368D00A4" w:rsidR="003850B4" w:rsidRPr="008753E7" w:rsidRDefault="007030C9" w:rsidP="008B13CB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Отчисление</w:t>
            </w:r>
            <w:r w:rsidR="003850B4"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 xml:space="preserve"> </w:t>
            </w:r>
            <w:r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 xml:space="preserve">нереализованных </w:t>
            </w:r>
            <w:r w:rsidR="003850B4" w:rsidRPr="008753E7"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  <w:t>прибыли от разниц от переоценки драгоценных металлов</w:t>
            </w:r>
          </w:p>
        </w:tc>
        <w:tc>
          <w:tcPr>
            <w:tcW w:w="1404" w:type="dxa"/>
            <w:tcBorders>
              <w:top w:val="nil"/>
              <w:bottom w:val="single" w:sz="12" w:space="0" w:color="808080"/>
            </w:tcBorders>
            <w:shd w:val="clear" w:color="auto" w:fill="auto"/>
            <w:vAlign w:val="bottom"/>
          </w:tcPr>
          <w:p w14:paraId="05E031D5" w14:textId="49BF4367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(887)</w:t>
            </w:r>
          </w:p>
        </w:tc>
        <w:tc>
          <w:tcPr>
            <w:tcW w:w="1361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vAlign w:val="bottom"/>
          </w:tcPr>
          <w:p w14:paraId="04E46531" w14:textId="3D6EB153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(7 290)</w:t>
            </w:r>
          </w:p>
        </w:tc>
        <w:tc>
          <w:tcPr>
            <w:tcW w:w="245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90AADBD" w14:textId="77777777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vAlign w:val="bottom"/>
          </w:tcPr>
          <w:p w14:paraId="39B81A8E" w14:textId="37ABE17F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color w:val="000000"/>
                <w:sz w:val="20"/>
                <w:szCs w:val="20"/>
                <w:lang w:val="ro-MD"/>
              </w:rPr>
              <w:t>(887)</w:t>
            </w:r>
          </w:p>
        </w:tc>
        <w:tc>
          <w:tcPr>
            <w:tcW w:w="1210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66DF8CD4" w14:textId="2CD5DC21" w:rsidR="003850B4" w:rsidRPr="00926D1C" w:rsidRDefault="003850B4" w:rsidP="003850B4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/>
                <w:bCs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/>
                <w:sz w:val="20"/>
                <w:szCs w:val="20"/>
                <w:lang w:val="ro-MD"/>
              </w:rPr>
              <w:t>(7 290)</w:t>
            </w:r>
          </w:p>
        </w:tc>
      </w:tr>
      <w:tr w:rsidR="003850B4" w:rsidRPr="00926D1C" w14:paraId="0DCFE0C7" w14:textId="77777777" w:rsidTr="00943D47">
        <w:trPr>
          <w:gridAfter w:val="1"/>
          <w:wAfter w:w="105" w:type="dxa"/>
          <w:trHeight w:val="99"/>
        </w:trPr>
        <w:tc>
          <w:tcPr>
            <w:tcW w:w="5740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</w:tcPr>
          <w:p w14:paraId="62556013" w14:textId="703B6568" w:rsidR="003850B4" w:rsidRPr="008753E7" w:rsidRDefault="003850B4" w:rsidP="003850B4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  <w:r w:rsidRPr="008753E7"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  <w:t>ОБЩИЙ УБЫТОК*</w:t>
            </w:r>
          </w:p>
        </w:tc>
        <w:tc>
          <w:tcPr>
            <w:tcW w:w="1404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0053B2E4" w14:textId="4E942346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(521 661)</w:t>
            </w:r>
          </w:p>
        </w:tc>
        <w:tc>
          <w:tcPr>
            <w:tcW w:w="1361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26027D37" w14:textId="1A11D72B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(23 746)</w:t>
            </w:r>
          </w:p>
        </w:tc>
        <w:tc>
          <w:tcPr>
            <w:tcW w:w="245" w:type="dxa"/>
            <w:gridSpan w:val="3"/>
            <w:tcBorders>
              <w:top w:val="nil"/>
              <w:bottom w:val="single" w:sz="12" w:space="0" w:color="808080"/>
            </w:tcBorders>
            <w:shd w:val="clear" w:color="auto" w:fill="auto"/>
            <w:vAlign w:val="bottom"/>
          </w:tcPr>
          <w:p w14:paraId="488A7D26" w14:textId="77777777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9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03EFFEB0" w14:textId="55EC48FE" w:rsidR="003850B4" w:rsidRPr="00926D1C" w:rsidRDefault="003850B4" w:rsidP="003850B4">
            <w:pPr>
              <w:spacing w:after="0" w:line="240" w:lineRule="auto"/>
              <w:ind w:left="-96"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MD"/>
              </w:rPr>
              <w:t>( 521 661)</w:t>
            </w:r>
          </w:p>
        </w:tc>
        <w:tc>
          <w:tcPr>
            <w:tcW w:w="1210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290A5E49" w14:textId="2E17D041" w:rsidR="003850B4" w:rsidRPr="00926D1C" w:rsidRDefault="003850B4" w:rsidP="003850B4">
            <w:pPr>
              <w:spacing w:after="0" w:line="240" w:lineRule="auto"/>
              <w:ind w:left="41" w:hanging="142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  <w:r w:rsidRPr="00926D1C">
              <w:rPr>
                <w:rFonts w:ascii="PermianSerifTypeface" w:hAnsi="PermianSerifTypeface" w:cs="Arial"/>
                <w:b/>
                <w:color w:val="000000"/>
                <w:sz w:val="20"/>
                <w:szCs w:val="20"/>
                <w:lang w:val="ro-MD"/>
              </w:rPr>
              <w:t>(23 746)</w:t>
            </w:r>
          </w:p>
        </w:tc>
      </w:tr>
      <w:tr w:rsidR="00657FD1" w:rsidRPr="00926D1C" w14:paraId="1B0FA052" w14:textId="77777777" w:rsidTr="00943D47">
        <w:trPr>
          <w:gridAfter w:val="2"/>
          <w:wAfter w:w="528" w:type="dxa"/>
          <w:trHeight w:val="99"/>
        </w:trPr>
        <w:tc>
          <w:tcPr>
            <w:tcW w:w="5596" w:type="dxa"/>
            <w:tcBorders>
              <w:top w:val="single" w:sz="12" w:space="0" w:color="808080"/>
              <w:bottom w:val="nil"/>
            </w:tcBorders>
            <w:shd w:val="clear" w:color="auto" w:fill="auto"/>
            <w:noWrap/>
          </w:tcPr>
          <w:p w14:paraId="7AEEE5FD" w14:textId="77777777" w:rsidR="00657FD1" w:rsidRPr="00926D1C" w:rsidRDefault="00657FD1" w:rsidP="00EE12DA">
            <w:pPr>
              <w:spacing w:after="0" w:line="240" w:lineRule="auto"/>
              <w:ind w:left="36" w:right="-1"/>
              <w:rPr>
                <w:rFonts w:ascii="PermianSerifTypeface" w:eastAsia="Times New Roman" w:hAnsi="PermianSerifTypeface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548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39FA27DA" w14:textId="77777777" w:rsidR="00657FD1" w:rsidRPr="00926D1C" w:rsidRDefault="00657FD1" w:rsidP="00EE12DA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65" w:type="dxa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4CD7A34C" w14:textId="77777777" w:rsidR="00657FD1" w:rsidRPr="00926D1C" w:rsidRDefault="00657FD1" w:rsidP="00EE12DA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45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</w:tcPr>
          <w:p w14:paraId="07A070EE" w14:textId="77777777" w:rsidR="00657FD1" w:rsidRPr="00926D1C" w:rsidRDefault="00657FD1" w:rsidP="00EE12DA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66" w:type="dxa"/>
            <w:gridSpan w:val="3"/>
            <w:tcBorders>
              <w:top w:val="single" w:sz="12" w:space="0" w:color="808080"/>
              <w:bottom w:val="nil"/>
            </w:tcBorders>
            <w:shd w:val="clear" w:color="auto" w:fill="auto"/>
            <w:vAlign w:val="bottom"/>
          </w:tcPr>
          <w:p w14:paraId="31191787" w14:textId="77777777" w:rsidR="00657FD1" w:rsidRPr="00926D1C" w:rsidRDefault="00657FD1" w:rsidP="00EE12DA">
            <w:pPr>
              <w:spacing w:after="0" w:line="240" w:lineRule="auto"/>
              <w:ind w:right="-1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11" w:type="dxa"/>
            <w:gridSpan w:val="2"/>
            <w:tcBorders>
              <w:top w:val="single" w:sz="12" w:space="0" w:color="808080"/>
              <w:bottom w:val="nil"/>
            </w:tcBorders>
            <w:shd w:val="clear" w:color="auto" w:fill="auto"/>
            <w:noWrap/>
            <w:vAlign w:val="bottom"/>
          </w:tcPr>
          <w:p w14:paraId="2AA8714F" w14:textId="77777777" w:rsidR="00657FD1" w:rsidRPr="00926D1C" w:rsidRDefault="00657FD1" w:rsidP="00EE12DA">
            <w:pPr>
              <w:spacing w:after="0" w:line="240" w:lineRule="auto"/>
              <w:jc w:val="right"/>
              <w:rPr>
                <w:rFonts w:ascii="PermianSerifTypeface" w:eastAsia="Times New Roman" w:hAnsi="PermianSerifTypeface" w:cs="Arial"/>
                <w:b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41861B3E" w14:textId="77777777" w:rsidR="004724B1" w:rsidRPr="00040595" w:rsidRDefault="004724B1" w:rsidP="008E11B5">
      <w:p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val="ru-RU"/>
        </w:rPr>
      </w:pPr>
    </w:p>
    <w:sectPr w:rsidR="004724B1" w:rsidRPr="00040595" w:rsidSect="004724B1">
      <w:pgSz w:w="11906" w:h="16838"/>
      <w:pgMar w:top="426" w:right="851" w:bottom="851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BFD0C" w14:textId="77777777" w:rsidR="00B32B01" w:rsidRDefault="00B32B01" w:rsidP="00A75602">
      <w:pPr>
        <w:spacing w:after="0" w:line="240" w:lineRule="auto"/>
      </w:pPr>
      <w:r>
        <w:separator/>
      </w:r>
    </w:p>
  </w:endnote>
  <w:endnote w:type="continuationSeparator" w:id="0">
    <w:p w14:paraId="64133357" w14:textId="77777777" w:rsidR="00B32B01" w:rsidRDefault="00B32B01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DCD63" w14:textId="3F033A94" w:rsidR="00295D13" w:rsidRDefault="007030C9">
    <w:pPr>
      <w:pStyle w:val="Footer"/>
      <w:rPr>
        <w:lang w:val="ru-RU"/>
      </w:rPr>
    </w:pPr>
    <w:r w:rsidRPr="0008482E">
      <w:rPr>
        <w:rStyle w:val="EndnoteReference"/>
        <w:lang w:val="ru-RU"/>
      </w:rPr>
      <w:t>*</w:t>
    </w:r>
    <w:r w:rsidRPr="00E121E1">
      <w:rPr>
        <w:rFonts w:ascii="PermianSerifTypeface" w:hAnsi="PermianSerifTypeface"/>
        <w:bCs/>
        <w:i/>
        <w:sz w:val="18"/>
        <w:szCs w:val="18"/>
        <w:lang w:val="ru-RU"/>
      </w:rPr>
      <w:t>В соответствии со ст.20 Закона о Национальном банке Молдовы №. 548/1995 прибыль, доступная для распределения/чистый убыток определяется и отражается в конце финансового года, поэтому прибыль, доступная для распределения/чистый убыток в промежуточной финансовой отчетности представлена только в информационных целях.</w:t>
    </w:r>
  </w:p>
  <w:p w14:paraId="53672A39" w14:textId="77777777" w:rsidR="00295D13" w:rsidRPr="00295D13" w:rsidRDefault="00295D13">
    <w:pPr>
      <w:pStyle w:val="Footer"/>
      <w:rPr>
        <w:lang w:val="ru-RU"/>
      </w:rPr>
    </w:pPr>
  </w:p>
  <w:p w14:paraId="3F0FFBEF" w14:textId="77777777" w:rsidR="00295D13" w:rsidRPr="00295D13" w:rsidRDefault="00295D13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CF14D" w14:textId="77777777" w:rsidR="00B32B01" w:rsidRDefault="00B32B01" w:rsidP="00A75602">
      <w:pPr>
        <w:spacing w:after="0" w:line="240" w:lineRule="auto"/>
      </w:pPr>
      <w:r>
        <w:separator/>
      </w:r>
    </w:p>
  </w:footnote>
  <w:footnote w:type="continuationSeparator" w:id="0">
    <w:p w14:paraId="13039E71" w14:textId="77777777" w:rsidR="00B32B01" w:rsidRDefault="00B32B01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B4DE9" w14:textId="4029572E" w:rsidR="00523554" w:rsidRDefault="00DE4338" w:rsidP="00D3775D">
    <w:pPr>
      <w:pStyle w:val="Header"/>
      <w:ind w:left="709" w:hanging="1843"/>
    </w:pPr>
    <w:r>
      <w:rPr>
        <w:noProof/>
        <w:lang w:val="en-US"/>
      </w:rPr>
      <w:drawing>
        <wp:inline distT="0" distB="0" distL="0" distR="0" wp14:anchorId="3EDD33CE" wp14:editId="46AEEF91">
          <wp:extent cx="1638300" cy="438150"/>
          <wp:effectExtent l="0" t="0" r="0" b="0"/>
          <wp:docPr id="450382135" name="Picture 450382135" descr="A picture containing text, font, symbol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, font, symbol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EF3FA"/>
                      </a:clrFrom>
                      <a:clrTo>
                        <a:srgbClr val="EEF3FA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4229"/>
    <w:rsid w:val="00007216"/>
    <w:rsid w:val="00036BBD"/>
    <w:rsid w:val="00040595"/>
    <w:rsid w:val="00044A74"/>
    <w:rsid w:val="00076A70"/>
    <w:rsid w:val="0008482E"/>
    <w:rsid w:val="00091A6B"/>
    <w:rsid w:val="00097118"/>
    <w:rsid w:val="000B7D97"/>
    <w:rsid w:val="000D2E3D"/>
    <w:rsid w:val="000F1E9A"/>
    <w:rsid w:val="00110B13"/>
    <w:rsid w:val="00141F7F"/>
    <w:rsid w:val="0015715A"/>
    <w:rsid w:val="001608C6"/>
    <w:rsid w:val="00173347"/>
    <w:rsid w:val="001F0F8E"/>
    <w:rsid w:val="001F3C55"/>
    <w:rsid w:val="001F4815"/>
    <w:rsid w:val="0020756A"/>
    <w:rsid w:val="0020757F"/>
    <w:rsid w:val="00215798"/>
    <w:rsid w:val="002260A7"/>
    <w:rsid w:val="00237D20"/>
    <w:rsid w:val="0024004F"/>
    <w:rsid w:val="00262D70"/>
    <w:rsid w:val="00282733"/>
    <w:rsid w:val="00283AF7"/>
    <w:rsid w:val="00295D13"/>
    <w:rsid w:val="003354BC"/>
    <w:rsid w:val="00344677"/>
    <w:rsid w:val="00356CB3"/>
    <w:rsid w:val="00363E23"/>
    <w:rsid w:val="00383F3A"/>
    <w:rsid w:val="003850B4"/>
    <w:rsid w:val="003B2905"/>
    <w:rsid w:val="003B6ADA"/>
    <w:rsid w:val="003C3F85"/>
    <w:rsid w:val="003C6129"/>
    <w:rsid w:val="003D7FBD"/>
    <w:rsid w:val="003E2547"/>
    <w:rsid w:val="003F3E6A"/>
    <w:rsid w:val="003F4075"/>
    <w:rsid w:val="00407039"/>
    <w:rsid w:val="0046214E"/>
    <w:rsid w:val="004724B1"/>
    <w:rsid w:val="00474E07"/>
    <w:rsid w:val="00482C44"/>
    <w:rsid w:val="0048691E"/>
    <w:rsid w:val="004A3640"/>
    <w:rsid w:val="004A4B2E"/>
    <w:rsid w:val="004B5663"/>
    <w:rsid w:val="004D26B6"/>
    <w:rsid w:val="004F0B46"/>
    <w:rsid w:val="0051148B"/>
    <w:rsid w:val="00523554"/>
    <w:rsid w:val="00535D52"/>
    <w:rsid w:val="00556D46"/>
    <w:rsid w:val="00580BA8"/>
    <w:rsid w:val="005830AC"/>
    <w:rsid w:val="005F4718"/>
    <w:rsid w:val="0060438C"/>
    <w:rsid w:val="0063101B"/>
    <w:rsid w:val="006510BD"/>
    <w:rsid w:val="00657FD1"/>
    <w:rsid w:val="00673758"/>
    <w:rsid w:val="00681CD2"/>
    <w:rsid w:val="006B30D5"/>
    <w:rsid w:val="006B392D"/>
    <w:rsid w:val="006E11FC"/>
    <w:rsid w:val="007030C9"/>
    <w:rsid w:val="00710C4E"/>
    <w:rsid w:val="00724C85"/>
    <w:rsid w:val="007332C7"/>
    <w:rsid w:val="00745881"/>
    <w:rsid w:val="00750E7B"/>
    <w:rsid w:val="0075435B"/>
    <w:rsid w:val="00781C60"/>
    <w:rsid w:val="00786B52"/>
    <w:rsid w:val="00790080"/>
    <w:rsid w:val="00795661"/>
    <w:rsid w:val="007A56F6"/>
    <w:rsid w:val="007B1108"/>
    <w:rsid w:val="007B34C2"/>
    <w:rsid w:val="007F0A91"/>
    <w:rsid w:val="00810A9E"/>
    <w:rsid w:val="0082438F"/>
    <w:rsid w:val="0084497E"/>
    <w:rsid w:val="008576E7"/>
    <w:rsid w:val="008753E7"/>
    <w:rsid w:val="008838C8"/>
    <w:rsid w:val="008B13CB"/>
    <w:rsid w:val="008E11B5"/>
    <w:rsid w:val="008F0F5F"/>
    <w:rsid w:val="00926D1C"/>
    <w:rsid w:val="00943D47"/>
    <w:rsid w:val="00947684"/>
    <w:rsid w:val="00996213"/>
    <w:rsid w:val="009A2A24"/>
    <w:rsid w:val="009F70CA"/>
    <w:rsid w:val="00A07A6F"/>
    <w:rsid w:val="00A72CAD"/>
    <w:rsid w:val="00A75602"/>
    <w:rsid w:val="00AB3FBB"/>
    <w:rsid w:val="00AD60B2"/>
    <w:rsid w:val="00AF0F7C"/>
    <w:rsid w:val="00AF4D97"/>
    <w:rsid w:val="00B32B01"/>
    <w:rsid w:val="00B612CE"/>
    <w:rsid w:val="00BA4995"/>
    <w:rsid w:val="00BA582E"/>
    <w:rsid w:val="00BB52DE"/>
    <w:rsid w:val="00BD417C"/>
    <w:rsid w:val="00BD5AE8"/>
    <w:rsid w:val="00BE11FF"/>
    <w:rsid w:val="00BF07F5"/>
    <w:rsid w:val="00BF3750"/>
    <w:rsid w:val="00BF38D8"/>
    <w:rsid w:val="00C06FA5"/>
    <w:rsid w:val="00C6018F"/>
    <w:rsid w:val="00C729BC"/>
    <w:rsid w:val="00C775B6"/>
    <w:rsid w:val="00C87564"/>
    <w:rsid w:val="00C9548B"/>
    <w:rsid w:val="00CA3AE8"/>
    <w:rsid w:val="00CB13C9"/>
    <w:rsid w:val="00CC3788"/>
    <w:rsid w:val="00CC5A24"/>
    <w:rsid w:val="00CE2313"/>
    <w:rsid w:val="00D03C52"/>
    <w:rsid w:val="00D069EB"/>
    <w:rsid w:val="00D14E96"/>
    <w:rsid w:val="00D3059E"/>
    <w:rsid w:val="00D3775D"/>
    <w:rsid w:val="00D409DD"/>
    <w:rsid w:val="00D436B3"/>
    <w:rsid w:val="00D7414C"/>
    <w:rsid w:val="00D74695"/>
    <w:rsid w:val="00DC1476"/>
    <w:rsid w:val="00DC21D0"/>
    <w:rsid w:val="00DD7187"/>
    <w:rsid w:val="00DE4338"/>
    <w:rsid w:val="00DE440F"/>
    <w:rsid w:val="00DE7C44"/>
    <w:rsid w:val="00E270C0"/>
    <w:rsid w:val="00E377EC"/>
    <w:rsid w:val="00E73BD7"/>
    <w:rsid w:val="00E95C86"/>
    <w:rsid w:val="00EA6A6A"/>
    <w:rsid w:val="00EB0E0F"/>
    <w:rsid w:val="00EB48FA"/>
    <w:rsid w:val="00EC3857"/>
    <w:rsid w:val="00EC666F"/>
    <w:rsid w:val="00ED363B"/>
    <w:rsid w:val="00EE12DA"/>
    <w:rsid w:val="00F06F23"/>
    <w:rsid w:val="00F1708A"/>
    <w:rsid w:val="00F2474C"/>
    <w:rsid w:val="00F512C5"/>
    <w:rsid w:val="00F66A9C"/>
    <w:rsid w:val="00FB21AC"/>
    <w:rsid w:val="00FE2EC2"/>
    <w:rsid w:val="00FE3BFE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460F4A"/>
  <w15:docId w15:val="{2AA79F5A-6273-4BF6-B646-60A38058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ZW" w:eastAsia="en-US"/>
    </w:rPr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uiPriority w:val="99"/>
    <w:unhideWhenUsed/>
    <w:rsid w:val="00F512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rPr>
      <w:rFonts w:ascii="Times New Roman" w:eastAsia="Times New Roman" w:hAnsi="Times New Roman"/>
      <w:lang w:val="ro-RO" w:eastAsia="ro-RO"/>
    </w:rPr>
    <w:tblPr/>
  </w:style>
  <w:style w:type="character" w:customStyle="1" w:styleId="Heading1Char">
    <w:name w:val="Heading 1 Char"/>
    <w:uiPriority w:val="9"/>
    <w:rsid w:val="00BD5AE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2Char">
    <w:name w:val="Heading 2 Char"/>
    <w:aliases w:val="e2 Char,t2 Char,h2 Char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BodyTextChar">
    <w:name w:val="Body Text Char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03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BA2B-A045-4F48-8E99-7481D380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cp:lastModifiedBy>Ion V. Nicorici</cp:lastModifiedBy>
  <cp:revision>2</cp:revision>
  <cp:lastPrinted>2023-10-20T12:16:00Z</cp:lastPrinted>
  <dcterms:created xsi:type="dcterms:W3CDTF">2023-10-28T21:02:00Z</dcterms:created>
  <dcterms:modified xsi:type="dcterms:W3CDTF">2023-10-28T21:02:00Z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7dad6d08-1435-4efb-9163-fc272f5c8aeb</vt:lpwstr>
  </property>
  <property fmtid="{D5CDD505-2E9C-101B-9397-08002B2CF9AE}" pid="3" name="Clasificare">
    <vt:lpwstr>NONE</vt:lpwstr>
  </property>
</Properties>
</file>